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488F49" w14:textId="77777777" w:rsidR="00F73B1D" w:rsidRDefault="00F73B1D" w:rsidP="00F73B1D">
      <w:pPr>
        <w:jc w:val="center"/>
        <w:rPr>
          <w:sz w:val="36"/>
          <w:szCs w:val="36"/>
        </w:rPr>
      </w:pPr>
      <w:r>
        <w:rPr>
          <w:noProof/>
          <w:sz w:val="36"/>
          <w:szCs w:val="36"/>
        </w:rPr>
        <w:drawing>
          <wp:inline distT="0" distB="0" distL="0" distR="0" wp14:anchorId="32744192" wp14:editId="31044705">
            <wp:extent cx="3200400" cy="609600"/>
            <wp:effectExtent l="0" t="0" r="0" b="0"/>
            <wp:docPr id="3"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0ADD2B6" w14:textId="77777777" w:rsidR="00F73B1D" w:rsidRPr="00F73B1D" w:rsidRDefault="00F73B1D" w:rsidP="00F73B1D">
      <w:pPr>
        <w:spacing w:before="100" w:beforeAutospacing="1" w:after="100" w:afterAutospacing="1"/>
        <w:jc w:val="center"/>
        <w:rPr>
          <w:i/>
        </w:rPr>
      </w:pPr>
      <w:r w:rsidRPr="00F73B1D">
        <w:rPr>
          <w:i/>
        </w:rPr>
        <w:t>Geophysical Research Letters</w:t>
      </w:r>
    </w:p>
    <w:p w14:paraId="57797F3C" w14:textId="77777777" w:rsidR="00F73B1D" w:rsidRDefault="00F73B1D" w:rsidP="00F73B1D">
      <w:pPr>
        <w:spacing w:before="100" w:beforeAutospacing="1" w:after="100" w:afterAutospacing="1"/>
        <w:jc w:val="center"/>
      </w:pPr>
      <w:r w:rsidRPr="00F73B1D">
        <w:t>Supporting Information for</w:t>
      </w:r>
    </w:p>
    <w:p w14:paraId="62046725" w14:textId="77777777" w:rsidR="00F73B1D" w:rsidRPr="00F73B1D" w:rsidRDefault="00F73B1D" w:rsidP="00F74CBE">
      <w:pPr>
        <w:spacing w:line="360" w:lineRule="auto"/>
        <w:contextualSpacing/>
        <w:jc w:val="center"/>
      </w:pPr>
    </w:p>
    <w:p w14:paraId="704F1D7B" w14:textId="5A1562E7" w:rsidR="00F74CBE" w:rsidRPr="00F74CBE" w:rsidRDefault="00F74CBE" w:rsidP="00F74CBE">
      <w:pPr>
        <w:spacing w:line="360" w:lineRule="auto"/>
        <w:contextualSpacing/>
        <w:jc w:val="center"/>
        <w:rPr>
          <w:b/>
        </w:rPr>
      </w:pPr>
      <w:r w:rsidRPr="00F74CBE">
        <w:rPr>
          <w:b/>
        </w:rPr>
        <w:t>Non</w:t>
      </w:r>
      <w:r w:rsidR="007D59E2">
        <w:rPr>
          <w:b/>
        </w:rPr>
        <w:t>u</w:t>
      </w:r>
      <w:r w:rsidRPr="00F74CBE">
        <w:rPr>
          <w:b/>
        </w:rPr>
        <w:t xml:space="preserve">niform </w:t>
      </w:r>
      <w:r w:rsidR="00750E2C">
        <w:rPr>
          <w:b/>
        </w:rPr>
        <w:t>o</w:t>
      </w:r>
      <w:r w:rsidR="00750E2C" w:rsidRPr="00F74CBE">
        <w:rPr>
          <w:b/>
        </w:rPr>
        <w:t xml:space="preserve">cean </w:t>
      </w:r>
      <w:r w:rsidR="00750E2C">
        <w:rPr>
          <w:b/>
        </w:rPr>
        <w:t>a</w:t>
      </w:r>
      <w:r w:rsidR="00750E2C" w:rsidRPr="00F74CBE">
        <w:rPr>
          <w:b/>
        </w:rPr>
        <w:t xml:space="preserve">cidification </w:t>
      </w:r>
      <w:r w:rsidRPr="00F74CBE">
        <w:rPr>
          <w:b/>
        </w:rPr>
        <w:t xml:space="preserve">and </w:t>
      </w:r>
      <w:r w:rsidR="00750E2C">
        <w:rPr>
          <w:b/>
        </w:rPr>
        <w:t>a</w:t>
      </w:r>
      <w:r w:rsidR="00750E2C" w:rsidRPr="00F74CBE">
        <w:rPr>
          <w:b/>
        </w:rPr>
        <w:t xml:space="preserve">ttenuation </w:t>
      </w:r>
      <w:r w:rsidRPr="00F74CBE">
        <w:rPr>
          <w:b/>
        </w:rPr>
        <w:t xml:space="preserve">of the </w:t>
      </w:r>
      <w:r w:rsidR="00750E2C">
        <w:rPr>
          <w:b/>
        </w:rPr>
        <w:t>o</w:t>
      </w:r>
      <w:r w:rsidR="00750E2C" w:rsidRPr="00F74CBE">
        <w:rPr>
          <w:b/>
        </w:rPr>
        <w:t xml:space="preserve">cean </w:t>
      </w:r>
      <w:r w:rsidR="00750E2C">
        <w:rPr>
          <w:b/>
        </w:rPr>
        <w:t>c</w:t>
      </w:r>
      <w:r w:rsidR="00750E2C" w:rsidRPr="00F74CBE">
        <w:rPr>
          <w:b/>
        </w:rPr>
        <w:t xml:space="preserve">arbon </w:t>
      </w:r>
      <w:r w:rsidR="00750E2C">
        <w:rPr>
          <w:b/>
        </w:rPr>
        <w:t>s</w:t>
      </w:r>
      <w:r w:rsidR="00750E2C" w:rsidRPr="00F74CBE">
        <w:rPr>
          <w:b/>
        </w:rPr>
        <w:t>ink</w:t>
      </w:r>
    </w:p>
    <w:p w14:paraId="262AE5AE" w14:textId="77777777" w:rsidR="00F74CBE" w:rsidRPr="00F74CBE" w:rsidRDefault="00F74CBE" w:rsidP="00F74CBE">
      <w:pPr>
        <w:spacing w:line="360" w:lineRule="auto"/>
        <w:contextualSpacing/>
        <w:jc w:val="center"/>
        <w:rPr>
          <w:color w:val="000000" w:themeColor="text1"/>
        </w:rPr>
      </w:pPr>
    </w:p>
    <w:p w14:paraId="293B7B35" w14:textId="7FCB82CB" w:rsidR="00F74CBE" w:rsidRPr="00F74CBE" w:rsidRDefault="00F74CBE" w:rsidP="00F74CBE">
      <w:pPr>
        <w:spacing w:line="360" w:lineRule="auto"/>
        <w:contextualSpacing/>
        <w:jc w:val="center"/>
        <w:rPr>
          <w:color w:val="000000" w:themeColor="text1"/>
          <w:vertAlign w:val="superscript"/>
        </w:rPr>
      </w:pPr>
      <w:r w:rsidRPr="00F74CBE">
        <w:t xml:space="preserve">Andrea J. </w:t>
      </w:r>
      <w:r w:rsidRPr="00F74CBE">
        <w:rPr>
          <w:color w:val="000000" w:themeColor="text1"/>
        </w:rPr>
        <w:t>Fassbender</w:t>
      </w:r>
      <w:r>
        <w:rPr>
          <w:color w:val="000000" w:themeColor="text1"/>
          <w:vertAlign w:val="superscript"/>
        </w:rPr>
        <w:t>1</w:t>
      </w:r>
      <w:r w:rsidRPr="00F74CBE">
        <w:rPr>
          <w:color w:val="000000" w:themeColor="text1"/>
        </w:rPr>
        <w:t>, Christopher L. Sabine</w:t>
      </w:r>
      <w:r w:rsidRPr="00F74CBE">
        <w:rPr>
          <w:color w:val="000000" w:themeColor="text1"/>
          <w:vertAlign w:val="superscript"/>
        </w:rPr>
        <w:t>2</w:t>
      </w:r>
      <w:r w:rsidRPr="00F74CBE">
        <w:rPr>
          <w:color w:val="000000" w:themeColor="text1"/>
        </w:rPr>
        <w:t>, and Hilary I. Palevsky</w:t>
      </w:r>
      <w:r w:rsidRPr="00F74CBE">
        <w:rPr>
          <w:color w:val="000000" w:themeColor="text1"/>
          <w:vertAlign w:val="superscript"/>
        </w:rPr>
        <w:t>3</w:t>
      </w:r>
    </w:p>
    <w:p w14:paraId="69F25F31" w14:textId="77777777" w:rsidR="00F74CBE" w:rsidRPr="00F74CBE" w:rsidRDefault="00F74CBE" w:rsidP="00F74CBE">
      <w:pPr>
        <w:widowControl w:val="0"/>
        <w:autoSpaceDE w:val="0"/>
        <w:autoSpaceDN w:val="0"/>
        <w:adjustRightInd w:val="0"/>
        <w:spacing w:line="360" w:lineRule="auto"/>
        <w:contextualSpacing/>
        <w:jc w:val="center"/>
        <w:rPr>
          <w:color w:val="131413"/>
          <w:sz w:val="20"/>
          <w:szCs w:val="20"/>
          <w:vertAlign w:val="superscript"/>
        </w:rPr>
      </w:pPr>
    </w:p>
    <w:p w14:paraId="123ACAD2" w14:textId="7685387E" w:rsidR="00F74CBE" w:rsidRPr="00F74CBE" w:rsidRDefault="00F74CBE" w:rsidP="00F74CBE">
      <w:pPr>
        <w:widowControl w:val="0"/>
        <w:autoSpaceDE w:val="0"/>
        <w:autoSpaceDN w:val="0"/>
        <w:adjustRightInd w:val="0"/>
        <w:spacing w:line="360" w:lineRule="auto"/>
        <w:contextualSpacing/>
        <w:jc w:val="center"/>
        <w:rPr>
          <w:color w:val="131413"/>
          <w:sz w:val="20"/>
          <w:szCs w:val="20"/>
        </w:rPr>
      </w:pPr>
      <w:r w:rsidRPr="00F74CBE">
        <w:rPr>
          <w:color w:val="131413"/>
          <w:sz w:val="20"/>
          <w:szCs w:val="20"/>
          <w:vertAlign w:val="superscript"/>
        </w:rPr>
        <w:t>1</w:t>
      </w:r>
      <w:r w:rsidRPr="00F74CBE">
        <w:rPr>
          <w:color w:val="131413"/>
          <w:sz w:val="20"/>
          <w:szCs w:val="20"/>
        </w:rPr>
        <w:t>Monterey Bay Aquarium Research Institute, 7700 Sandholdt Road, Moss Landing, C</w:t>
      </w:r>
      <w:r w:rsidR="007C6BEE">
        <w:rPr>
          <w:color w:val="131413"/>
          <w:sz w:val="20"/>
          <w:szCs w:val="20"/>
        </w:rPr>
        <w:t>alifornia</w:t>
      </w:r>
      <w:r w:rsidRPr="00F74CBE">
        <w:rPr>
          <w:color w:val="131413"/>
          <w:sz w:val="20"/>
          <w:szCs w:val="20"/>
        </w:rPr>
        <w:t xml:space="preserve"> 95039, USA</w:t>
      </w:r>
    </w:p>
    <w:p w14:paraId="7483A2F7" w14:textId="5EB14516" w:rsidR="00F74CBE" w:rsidRPr="00F74CBE" w:rsidRDefault="00F74CBE" w:rsidP="00F74CBE">
      <w:pPr>
        <w:spacing w:line="360" w:lineRule="auto"/>
        <w:contextualSpacing/>
        <w:jc w:val="center"/>
        <w:rPr>
          <w:color w:val="131413"/>
          <w:sz w:val="20"/>
          <w:szCs w:val="20"/>
        </w:rPr>
      </w:pPr>
      <w:r w:rsidRPr="00F74CBE">
        <w:rPr>
          <w:color w:val="131413"/>
          <w:sz w:val="20"/>
          <w:szCs w:val="20"/>
          <w:vertAlign w:val="superscript"/>
        </w:rPr>
        <w:t>2</w:t>
      </w:r>
      <w:r w:rsidRPr="00F74CBE">
        <w:rPr>
          <w:color w:val="131413"/>
          <w:sz w:val="20"/>
          <w:szCs w:val="20"/>
        </w:rPr>
        <w:t xml:space="preserve">Pacific Marine Environmental Laboratory, National Oceanic and Atmospheric Administration, </w:t>
      </w:r>
      <w:r w:rsidRPr="00F74CBE">
        <w:rPr>
          <w:rFonts w:eastAsia="Times New Roman"/>
          <w:color w:val="000000"/>
          <w:sz w:val="20"/>
          <w:szCs w:val="20"/>
          <w:shd w:val="clear" w:color="auto" w:fill="FFFFFF"/>
        </w:rPr>
        <w:t xml:space="preserve">7600 Sand Point Way NE, Seattle, </w:t>
      </w:r>
      <w:r w:rsidRPr="00F74CBE">
        <w:rPr>
          <w:color w:val="131413"/>
          <w:sz w:val="20"/>
          <w:szCs w:val="20"/>
        </w:rPr>
        <w:t>W</w:t>
      </w:r>
      <w:r w:rsidR="007C6BEE">
        <w:rPr>
          <w:color w:val="131413"/>
          <w:sz w:val="20"/>
          <w:szCs w:val="20"/>
        </w:rPr>
        <w:t>ashington</w:t>
      </w:r>
      <w:r w:rsidRPr="00F74CBE">
        <w:rPr>
          <w:color w:val="131413"/>
          <w:sz w:val="20"/>
          <w:szCs w:val="20"/>
        </w:rPr>
        <w:t xml:space="preserve"> 98115, USA</w:t>
      </w:r>
    </w:p>
    <w:p w14:paraId="790FE546" w14:textId="2B34D296" w:rsidR="00F74CBE" w:rsidRPr="00F74CBE" w:rsidRDefault="00F74CBE" w:rsidP="00F74CBE">
      <w:pPr>
        <w:spacing w:line="360" w:lineRule="auto"/>
        <w:contextualSpacing/>
        <w:jc w:val="center"/>
        <w:rPr>
          <w:rFonts w:eastAsia="Times New Roman"/>
          <w:sz w:val="20"/>
          <w:szCs w:val="20"/>
        </w:rPr>
      </w:pPr>
      <w:r w:rsidRPr="00F74CBE">
        <w:rPr>
          <w:color w:val="131413"/>
          <w:sz w:val="20"/>
          <w:szCs w:val="20"/>
          <w:vertAlign w:val="superscript"/>
        </w:rPr>
        <w:t>3</w:t>
      </w:r>
      <w:r w:rsidRPr="00F74CBE">
        <w:rPr>
          <w:color w:val="131413"/>
          <w:sz w:val="20"/>
          <w:szCs w:val="20"/>
        </w:rPr>
        <w:t>Woods Hole Oceanographic Institution,</w:t>
      </w:r>
      <w:r w:rsidRPr="00F74CBE">
        <w:rPr>
          <w:color w:val="000000" w:themeColor="text1"/>
          <w:sz w:val="20"/>
          <w:szCs w:val="20"/>
        </w:rPr>
        <w:t xml:space="preserve"> </w:t>
      </w:r>
      <w:r w:rsidRPr="00F74CBE">
        <w:rPr>
          <w:rFonts w:eastAsia="Times New Roman"/>
          <w:color w:val="222222"/>
          <w:sz w:val="20"/>
          <w:szCs w:val="20"/>
          <w:shd w:val="clear" w:color="auto" w:fill="FFFFFF"/>
        </w:rPr>
        <w:t xml:space="preserve">86 Water Street, Woods Hole, </w:t>
      </w:r>
      <w:r w:rsidR="007C6BEE" w:rsidRPr="00F74CBE">
        <w:rPr>
          <w:rFonts w:eastAsia="Times New Roman"/>
          <w:color w:val="222222"/>
          <w:sz w:val="20"/>
          <w:szCs w:val="20"/>
          <w:shd w:val="clear" w:color="auto" w:fill="FFFFFF"/>
        </w:rPr>
        <w:t>M</w:t>
      </w:r>
      <w:r w:rsidR="007C6BEE">
        <w:rPr>
          <w:rFonts w:eastAsia="Times New Roman"/>
          <w:color w:val="222222"/>
          <w:sz w:val="20"/>
          <w:szCs w:val="20"/>
          <w:shd w:val="clear" w:color="auto" w:fill="FFFFFF"/>
        </w:rPr>
        <w:t>assachusetts</w:t>
      </w:r>
      <w:r w:rsidRPr="00F74CBE">
        <w:rPr>
          <w:rFonts w:eastAsia="Times New Roman"/>
          <w:color w:val="222222"/>
          <w:sz w:val="20"/>
          <w:szCs w:val="20"/>
          <w:shd w:val="clear" w:color="auto" w:fill="FFFFFF"/>
        </w:rPr>
        <w:t xml:space="preserve"> 02543</w:t>
      </w:r>
      <w:r w:rsidRPr="00F74CBE">
        <w:rPr>
          <w:color w:val="000000" w:themeColor="text1"/>
          <w:sz w:val="20"/>
          <w:szCs w:val="20"/>
        </w:rPr>
        <w:t>, USA</w:t>
      </w:r>
    </w:p>
    <w:p w14:paraId="6C1F7246" w14:textId="77777777" w:rsidR="002E1CC9" w:rsidRPr="00F74CBE" w:rsidRDefault="002E1CC9" w:rsidP="00F73B1D">
      <w:pPr>
        <w:rPr>
          <w:b/>
          <w:color w:val="000000" w:themeColor="text1"/>
        </w:rPr>
      </w:pPr>
    </w:p>
    <w:p w14:paraId="1421DE47" w14:textId="77777777" w:rsidR="00F74CBE" w:rsidRDefault="00F74CBE" w:rsidP="00F73B1D">
      <w:pPr>
        <w:rPr>
          <w:b/>
          <w:color w:val="000000" w:themeColor="text1"/>
        </w:rPr>
      </w:pPr>
    </w:p>
    <w:p w14:paraId="5F780D10" w14:textId="77777777" w:rsidR="00F74CBE" w:rsidRPr="00F74CBE" w:rsidRDefault="00F74CBE" w:rsidP="00F73B1D">
      <w:pPr>
        <w:rPr>
          <w:b/>
          <w:color w:val="000000" w:themeColor="text1"/>
        </w:rPr>
      </w:pPr>
    </w:p>
    <w:p w14:paraId="558A6064" w14:textId="77777777" w:rsidR="00F73B1D" w:rsidRPr="00F74CBE" w:rsidRDefault="00F73B1D" w:rsidP="00F73B1D">
      <w:pPr>
        <w:rPr>
          <w:b/>
          <w:color w:val="000000" w:themeColor="text1"/>
        </w:rPr>
      </w:pPr>
      <w:r w:rsidRPr="00F74CBE">
        <w:rPr>
          <w:b/>
          <w:color w:val="000000" w:themeColor="text1"/>
        </w:rPr>
        <w:t xml:space="preserve">Contents of this file </w:t>
      </w:r>
    </w:p>
    <w:p w14:paraId="38A0C4DB" w14:textId="77777777" w:rsidR="00F73B1D" w:rsidRPr="00F74CBE" w:rsidRDefault="00F73B1D" w:rsidP="00F73B1D">
      <w:pPr>
        <w:rPr>
          <w:color w:val="000000" w:themeColor="text1"/>
        </w:rPr>
      </w:pPr>
    </w:p>
    <w:p w14:paraId="444B3D5F" w14:textId="3722D62A" w:rsidR="00F73B1D" w:rsidRPr="00F74CBE" w:rsidRDefault="00F73B1D" w:rsidP="00F73B1D">
      <w:pPr>
        <w:ind w:left="720"/>
        <w:rPr>
          <w:color w:val="000000" w:themeColor="text1"/>
        </w:rPr>
      </w:pPr>
      <w:r w:rsidRPr="00F74CBE">
        <w:rPr>
          <w:color w:val="000000" w:themeColor="text1"/>
        </w:rPr>
        <w:t>Text S1 to S2</w:t>
      </w:r>
    </w:p>
    <w:p w14:paraId="434E8A77" w14:textId="4E7EE86B" w:rsidR="00F73B1D" w:rsidRPr="00F74CBE" w:rsidRDefault="00F73B1D" w:rsidP="00F73B1D">
      <w:pPr>
        <w:ind w:left="720"/>
        <w:rPr>
          <w:color w:val="000000" w:themeColor="text1"/>
        </w:rPr>
      </w:pPr>
      <w:r w:rsidRPr="00F74CBE">
        <w:rPr>
          <w:color w:val="000000" w:themeColor="text1"/>
        </w:rPr>
        <w:t>Tables S1 to S3</w:t>
      </w:r>
    </w:p>
    <w:p w14:paraId="217F6635" w14:textId="274CAEBE" w:rsidR="00F73B1D" w:rsidRPr="00F74CBE" w:rsidRDefault="00F73B1D" w:rsidP="00F73B1D">
      <w:pPr>
        <w:ind w:left="720"/>
        <w:rPr>
          <w:color w:val="000000" w:themeColor="text1"/>
        </w:rPr>
      </w:pPr>
      <w:r w:rsidRPr="00F74CBE">
        <w:rPr>
          <w:color w:val="000000" w:themeColor="text1"/>
        </w:rPr>
        <w:t>Figures S1 to S4</w:t>
      </w:r>
    </w:p>
    <w:p w14:paraId="7A716879" w14:textId="77777777" w:rsidR="00F73B1D" w:rsidRDefault="00F73B1D" w:rsidP="00F73B1D">
      <w:pPr>
        <w:rPr>
          <w:color w:val="000000" w:themeColor="text1"/>
        </w:rPr>
      </w:pPr>
    </w:p>
    <w:p w14:paraId="66EC3F3D" w14:textId="77777777" w:rsidR="00F74CBE" w:rsidRPr="00F74CBE" w:rsidRDefault="00F74CBE" w:rsidP="00F73B1D">
      <w:pPr>
        <w:rPr>
          <w:color w:val="000000" w:themeColor="text1"/>
        </w:rPr>
      </w:pPr>
    </w:p>
    <w:p w14:paraId="0D6FE2FD" w14:textId="5A6B7173" w:rsidR="002E1CC9" w:rsidRPr="00F74CBE" w:rsidRDefault="00F73B1D" w:rsidP="00F73B1D">
      <w:pPr>
        <w:spacing w:before="100" w:beforeAutospacing="1" w:after="100" w:afterAutospacing="1"/>
        <w:jc w:val="both"/>
        <w:rPr>
          <w:b/>
          <w:bCs/>
        </w:rPr>
      </w:pPr>
      <w:r w:rsidRPr="00F74CBE">
        <w:rPr>
          <w:b/>
          <w:bCs/>
        </w:rPr>
        <w:t>Introduction</w:t>
      </w:r>
      <w:r w:rsidRPr="00F74CBE">
        <w:rPr>
          <w:b/>
        </w:rPr>
        <w:t xml:space="preserve"> </w:t>
      </w:r>
    </w:p>
    <w:p w14:paraId="01C66943" w14:textId="49D0EF44" w:rsidR="002E1CC9" w:rsidRPr="00F74CBE" w:rsidRDefault="00D37EC1" w:rsidP="002E1CC9">
      <w:pPr>
        <w:spacing w:before="100" w:beforeAutospacing="1" w:after="100" w:afterAutospacing="1"/>
        <w:jc w:val="both"/>
      </w:pPr>
      <w:r w:rsidRPr="00F74CBE">
        <w:rPr>
          <w:color w:val="000000" w:themeColor="text1"/>
        </w:rPr>
        <w:t xml:space="preserve">Text in the supporting information </w:t>
      </w:r>
      <w:r w:rsidR="002E1CC9" w:rsidRPr="00F74CBE">
        <w:rPr>
          <w:color w:val="000000" w:themeColor="text1"/>
        </w:rPr>
        <w:t>describes</w:t>
      </w:r>
      <w:r w:rsidRPr="00F74CBE">
        <w:rPr>
          <w:color w:val="000000" w:themeColor="text1"/>
        </w:rPr>
        <w:t xml:space="preserve"> </w:t>
      </w:r>
      <w:r w:rsidR="002E1CC9" w:rsidRPr="00F74CBE">
        <w:rPr>
          <w:color w:val="000000" w:themeColor="text1"/>
        </w:rPr>
        <w:t xml:space="preserve">uncertainties in the </w:t>
      </w:r>
      <w:r w:rsidRPr="00F74CBE">
        <w:rPr>
          <w:color w:val="000000" w:themeColor="text1"/>
        </w:rPr>
        <w:t xml:space="preserve">SOCAT-V4 </w:t>
      </w:r>
      <w:r w:rsidR="00C16CAC" w:rsidRPr="00F74CBE">
        <w:rPr>
          <w:color w:val="000000" w:themeColor="text1"/>
        </w:rPr>
        <w:t xml:space="preserve">gridded </w:t>
      </w:r>
      <w:r w:rsidR="002E1CC9" w:rsidRPr="00F74CBE">
        <w:rPr>
          <w:color w:val="000000" w:themeColor="text1"/>
        </w:rPr>
        <w:t>climatologies and provides details about the development of t</w:t>
      </w:r>
      <w:r w:rsidRPr="00F74CBE">
        <w:rPr>
          <w:color w:val="000000" w:themeColor="text1"/>
        </w:rPr>
        <w:t>ime</w:t>
      </w:r>
      <w:r w:rsidR="000B056B">
        <w:rPr>
          <w:color w:val="000000" w:themeColor="text1"/>
        </w:rPr>
        <w:t xml:space="preserve"> </w:t>
      </w:r>
      <w:r w:rsidRPr="00F74CBE">
        <w:rPr>
          <w:color w:val="000000" w:themeColor="text1"/>
        </w:rPr>
        <w:t xml:space="preserve">series climatologies. </w:t>
      </w:r>
      <w:r w:rsidR="00B76B53" w:rsidRPr="00F74CBE">
        <w:rPr>
          <w:color w:val="000000" w:themeColor="text1"/>
        </w:rPr>
        <w:t xml:space="preserve">Table S1 gives the start and end years of El Niño events that were removed from the SOCAT-V4 databased between 6°N and 6°S and 130°E and 80°W prior to the development of </w:t>
      </w:r>
      <w:r w:rsidR="00C16CAC" w:rsidRPr="00F74CBE">
        <w:rPr>
          <w:color w:val="000000" w:themeColor="text1"/>
        </w:rPr>
        <w:t xml:space="preserve">gridded </w:t>
      </w:r>
      <w:r w:rsidR="00B76B53" w:rsidRPr="00F74CBE">
        <w:rPr>
          <w:color w:val="000000" w:themeColor="text1"/>
        </w:rPr>
        <w:t>climatologies.</w:t>
      </w:r>
      <w:r w:rsidR="008D271F" w:rsidRPr="00F74CBE">
        <w:rPr>
          <w:color w:val="000000" w:themeColor="text1"/>
        </w:rPr>
        <w:t xml:space="preserve"> Table S2 compares annual mean values from </w:t>
      </w:r>
      <w:r w:rsidR="00C16CAC" w:rsidRPr="00F74CBE">
        <w:rPr>
          <w:color w:val="000000" w:themeColor="text1"/>
        </w:rPr>
        <w:t xml:space="preserve">the </w:t>
      </w:r>
      <w:r w:rsidR="008D271F" w:rsidRPr="00F74CBE">
        <w:rPr>
          <w:color w:val="000000" w:themeColor="text1"/>
        </w:rPr>
        <w:t>time</w:t>
      </w:r>
      <w:r w:rsidR="000B056B">
        <w:rPr>
          <w:color w:val="000000" w:themeColor="text1"/>
        </w:rPr>
        <w:t xml:space="preserve"> </w:t>
      </w:r>
      <w:r w:rsidR="008D271F" w:rsidRPr="00F74CBE">
        <w:rPr>
          <w:color w:val="000000" w:themeColor="text1"/>
        </w:rPr>
        <w:t xml:space="preserve">series </w:t>
      </w:r>
      <w:r w:rsidR="00C16CAC" w:rsidRPr="00F74CBE">
        <w:rPr>
          <w:color w:val="000000" w:themeColor="text1"/>
        </w:rPr>
        <w:t>climatologies</w:t>
      </w:r>
      <w:r w:rsidR="008D271F" w:rsidRPr="00F74CBE">
        <w:rPr>
          <w:color w:val="000000" w:themeColor="text1"/>
        </w:rPr>
        <w:t xml:space="preserve"> and corresponding SOCAT-V4 </w:t>
      </w:r>
      <w:r w:rsidR="00C16CAC" w:rsidRPr="00F74CBE">
        <w:rPr>
          <w:color w:val="000000" w:themeColor="text1"/>
        </w:rPr>
        <w:t>climatology grid cells</w:t>
      </w:r>
      <w:r w:rsidR="008D271F" w:rsidRPr="00F74CBE">
        <w:rPr>
          <w:color w:val="000000" w:themeColor="text1"/>
        </w:rPr>
        <w:t xml:space="preserve">. </w:t>
      </w:r>
      <w:r w:rsidR="002E1CC9" w:rsidRPr="00F74CBE">
        <w:rPr>
          <w:color w:val="000000" w:themeColor="text1"/>
        </w:rPr>
        <w:t xml:space="preserve">Table S3 compares </w:t>
      </w:r>
      <w:r w:rsidR="002E1CC9" w:rsidRPr="00F74CBE">
        <w:rPr>
          <w:i/>
        </w:rPr>
        <w:t>p</w:t>
      </w:r>
      <w:r w:rsidR="002E1CC9" w:rsidRPr="00F74CBE">
        <w:t>CO</w:t>
      </w:r>
      <w:r w:rsidR="002E1CC9" w:rsidRPr="00F74CBE">
        <w:rPr>
          <w:vertAlign w:val="subscript"/>
        </w:rPr>
        <w:t>2</w:t>
      </w:r>
      <w:r w:rsidR="002E1CC9" w:rsidRPr="00F74CBE">
        <w:t xml:space="preserve">-normalized rates of change in RF, nDIC, and pH from prior studies </w:t>
      </w:r>
      <w:r w:rsidR="001B1F76" w:rsidRPr="00F74CBE">
        <w:t>with</w:t>
      </w:r>
      <w:r w:rsidR="002E1CC9" w:rsidRPr="00F74CBE">
        <w:t xml:space="preserve"> </w:t>
      </w:r>
      <w:r w:rsidR="001B1F76" w:rsidRPr="00F74CBE">
        <w:t>those from the</w:t>
      </w:r>
      <w:r w:rsidR="002E1CC9" w:rsidRPr="00F74CBE">
        <w:t xml:space="preserve"> corresponding SOCAT-V4 grid cells. Figure S1 compares the SOCAT-V4 climatologies to the time</w:t>
      </w:r>
      <w:r w:rsidR="000B056B">
        <w:t xml:space="preserve"> </w:t>
      </w:r>
      <w:r w:rsidR="002E1CC9" w:rsidRPr="00F74CBE">
        <w:t>series climatologies</w:t>
      </w:r>
      <w:r w:rsidR="001B1F76" w:rsidRPr="00F74CBE">
        <w:t>. Figure</w:t>
      </w:r>
      <w:r w:rsidR="002E1CC9" w:rsidRPr="00F74CBE">
        <w:t xml:space="preserve"> S2 shows the number of unique</w:t>
      </w:r>
      <w:r w:rsidR="001B1F76" w:rsidRPr="00F74CBE">
        <w:t xml:space="preserve"> months </w:t>
      </w:r>
      <w:r w:rsidR="0044497B" w:rsidRPr="00F74CBE">
        <w:rPr>
          <w:noProof/>
        </w:rPr>
        <w:t xml:space="preserve">with </w:t>
      </w:r>
      <w:r w:rsidR="0044497B" w:rsidRPr="00F74CBE">
        <w:rPr>
          <w:i/>
          <w:noProof/>
        </w:rPr>
        <w:t>f</w:t>
      </w:r>
      <w:r w:rsidR="0044497B" w:rsidRPr="00F74CBE">
        <w:rPr>
          <w:noProof/>
        </w:rPr>
        <w:t>CO</w:t>
      </w:r>
      <w:r w:rsidR="0044497B" w:rsidRPr="00F74CBE">
        <w:rPr>
          <w:noProof/>
          <w:vertAlign w:val="subscript"/>
        </w:rPr>
        <w:t>2</w:t>
      </w:r>
      <w:r w:rsidR="0044497B" w:rsidRPr="00F74CBE">
        <w:rPr>
          <w:noProof/>
        </w:rPr>
        <w:t xml:space="preserve"> observations </w:t>
      </w:r>
      <w:r w:rsidR="001B1F76" w:rsidRPr="00F74CBE">
        <w:rPr>
          <w:noProof/>
        </w:rPr>
        <w:t xml:space="preserve">in each </w:t>
      </w:r>
      <w:r w:rsidR="001B1F76" w:rsidRPr="00F74CBE">
        <w:t xml:space="preserve">3°×3° </w:t>
      </w:r>
      <w:r w:rsidR="001B1F76" w:rsidRPr="00F74CBE">
        <w:rPr>
          <w:noProof/>
        </w:rPr>
        <w:t>grid cell</w:t>
      </w:r>
      <w:r w:rsidR="0044497B" w:rsidRPr="0044497B">
        <w:t xml:space="preserve"> </w:t>
      </w:r>
      <w:r w:rsidR="0044497B">
        <w:t>of</w:t>
      </w:r>
      <w:r w:rsidR="007C6BEE">
        <w:t xml:space="preserve"> the SOCAT-V4 12 </w:t>
      </w:r>
      <w:r w:rsidR="0044497B" w:rsidRPr="00F74CBE">
        <w:t>month climatology</w:t>
      </w:r>
      <w:r w:rsidR="001B1F76" w:rsidRPr="00F74CBE">
        <w:rPr>
          <w:noProof/>
        </w:rPr>
        <w:t>.</w:t>
      </w:r>
      <w:r w:rsidR="002E1CC9" w:rsidRPr="00F74CBE">
        <w:t xml:space="preserve"> Figure S3 compares seasonally averaged SOCAT-V4 and 2013 World Ocean Atlas sea surface salinity and temperature climatologies. </w:t>
      </w:r>
      <w:r w:rsidR="00FF3C54" w:rsidRPr="00F74CBE">
        <w:t xml:space="preserve">Figure S4 displays </w:t>
      </w:r>
      <w:r w:rsidR="00322162" w:rsidRPr="00F74CBE">
        <w:t>a fundamental challenge</w:t>
      </w:r>
      <w:r w:rsidR="00FF3C54" w:rsidRPr="00F74CBE">
        <w:t xml:space="preserve"> associated with comparing regional pH trends rather than [H</w:t>
      </w:r>
      <w:r w:rsidR="00FF3C54" w:rsidRPr="00F74CBE">
        <w:rPr>
          <w:vertAlign w:val="superscript"/>
        </w:rPr>
        <w:t>+</w:t>
      </w:r>
      <w:r w:rsidR="00FF3C54" w:rsidRPr="00F74CBE">
        <w:t>] trends.</w:t>
      </w:r>
    </w:p>
    <w:p w14:paraId="548354E0" w14:textId="02E105F9" w:rsidR="0026273B" w:rsidRPr="00F74CBE" w:rsidRDefault="00635C70" w:rsidP="0026273B">
      <w:pPr>
        <w:spacing w:line="360" w:lineRule="auto"/>
        <w:jc w:val="both"/>
        <w:rPr>
          <w:b/>
        </w:rPr>
      </w:pPr>
      <w:r w:rsidRPr="00F74CBE">
        <w:rPr>
          <w:b/>
        </w:rPr>
        <w:lastRenderedPageBreak/>
        <w:t xml:space="preserve">Text S1. </w:t>
      </w:r>
      <w:r w:rsidR="005B4BBB" w:rsidRPr="00F74CBE">
        <w:rPr>
          <w:b/>
        </w:rPr>
        <w:t xml:space="preserve">Consideration of </w:t>
      </w:r>
      <w:r w:rsidR="00250705">
        <w:rPr>
          <w:b/>
        </w:rPr>
        <w:t>U</w:t>
      </w:r>
      <w:r w:rsidR="00250705" w:rsidRPr="00F74CBE">
        <w:rPr>
          <w:b/>
        </w:rPr>
        <w:t xml:space="preserve">ncertainties </w:t>
      </w:r>
      <w:r w:rsidR="005B4BBB" w:rsidRPr="00F74CBE">
        <w:rPr>
          <w:b/>
        </w:rPr>
        <w:t>in the SOCAT</w:t>
      </w:r>
      <w:r w:rsidR="00865466" w:rsidRPr="00F74CBE">
        <w:rPr>
          <w:b/>
        </w:rPr>
        <w:t>-V4</w:t>
      </w:r>
      <w:r w:rsidR="005B4BBB" w:rsidRPr="00F74CBE">
        <w:rPr>
          <w:b/>
        </w:rPr>
        <w:t xml:space="preserve"> </w:t>
      </w:r>
      <w:r w:rsidR="00250705">
        <w:rPr>
          <w:b/>
        </w:rPr>
        <w:t>C</w:t>
      </w:r>
      <w:r w:rsidR="00250705" w:rsidRPr="00F74CBE">
        <w:rPr>
          <w:b/>
        </w:rPr>
        <w:t>limatologies</w:t>
      </w:r>
    </w:p>
    <w:p w14:paraId="7CDEE1FF" w14:textId="1B810A31" w:rsidR="005862AB" w:rsidRDefault="00A70832" w:rsidP="00C858A6">
      <w:pPr>
        <w:spacing w:line="360" w:lineRule="auto"/>
        <w:ind w:firstLine="360"/>
        <w:jc w:val="both"/>
        <w:rPr>
          <w:color w:val="000000" w:themeColor="text1"/>
        </w:rPr>
      </w:pPr>
      <w:r>
        <w:t xml:space="preserve">SOCAT-V4 </w:t>
      </w:r>
      <w:r w:rsidR="00696616">
        <w:t xml:space="preserve">sea surface </w:t>
      </w:r>
      <w:r>
        <w:t>salinity</w:t>
      </w:r>
      <w:r w:rsidR="00696616">
        <w:t xml:space="preserve"> (SSS)</w:t>
      </w:r>
      <w:r>
        <w:t xml:space="preserve"> and temperature</w:t>
      </w:r>
      <w:r w:rsidR="00696616">
        <w:t xml:space="preserve"> (SST)</w:t>
      </w:r>
      <w:r>
        <w:t xml:space="preserve"> data were used to estimate </w:t>
      </w:r>
      <w:r w:rsidR="00696616">
        <w:t>total alkalinity (</w:t>
      </w:r>
      <w:r>
        <w:t>TA</w:t>
      </w:r>
      <w:r w:rsidR="00696616">
        <w:t>)</w:t>
      </w:r>
      <w:r>
        <w:t xml:space="preserve"> by applying equation 8 of </w:t>
      </w:r>
      <w:r w:rsidRPr="00C579C0">
        <w:t xml:space="preserve">the </w:t>
      </w:r>
      <w:r w:rsidR="00C858A6">
        <w:t>Locally Interpolated Alkalinity Regression</w:t>
      </w:r>
      <w:r w:rsidRPr="00C579C0">
        <w:t xml:space="preserve"> </w:t>
      </w:r>
      <w:r>
        <w:t>suite of algorithms</w:t>
      </w:r>
      <w:r w:rsidRPr="00C579C0">
        <w:t xml:space="preserve"> </w:t>
      </w:r>
      <w:r w:rsidRPr="00C579C0">
        <w:fldChar w:fldCharType="begin" w:fldLock="1"/>
      </w:r>
      <w:r w:rsidR="006B19BF">
        <w:instrText>ADDIN CSL_CITATION { "citationItems" : [ { "id" : "ITEM-1", "itemData" : { "DOI" : "10.1002/lom3.10087", "ISSN" : "15415856", "author" : [ { "dropping-particle" : "", "family" : "Carter", "given" : "B. R.", "non-dropping-particle" : "", "parse-names" : false, "suffix" : "" }, { "dropping-particle" : "", "family" : "Williams", "given" : "N. L.", "non-dropping-particle" : "", "parse-names" : false, "suffix" : "" }, { "dropping-particle" : "", "family" : "Gray", "given" : "A. R.", "non-dropping-particle" : "", "parse-names" : false, "suffix" : "" }, { "dropping-particle" : "", "family" : "Feely", "given" : "R.A.", "non-dropping-particle" : "", "parse-names" : false, "suffix" : "" } ], "container-title" : "Limnology and Oceanography: Methods", "id" : "ITEM-1", "issue" : "4", "issued" : { "date-parts" : [ [ "2016", "4" ] ] }, "page" : "268-277", "title" : "Locally interpolated alkalinity regression for global alkalinity estimation", "type" : "article-journal", "volume" : "14" }, "uris" : [ "http://www.mendeley.com/documents/?uuid=c1e1ba31-7e6b-43bf-91c9-a4a925e9d23f" ] } ], "mendeley" : { "formattedCitation" : "[&lt;i&gt;Carter et al.&lt;/i&gt;, 2016]", "plainTextFormattedCitation" : "[Carter et al., 2016]", "previouslyFormattedCitation" : "[&lt;i&gt;Carter et al.&lt;/i&gt;, 2016]" }, "properties" : { "noteIndex" : 0 }, "schema" : "https://github.com/citation-style-language/schema/raw/master/csl-citation.json" }</w:instrText>
      </w:r>
      <w:r w:rsidRPr="00C579C0">
        <w:fldChar w:fldCharType="separate"/>
      </w:r>
      <w:r w:rsidR="00544B45" w:rsidRPr="00544B45">
        <w:rPr>
          <w:noProof/>
        </w:rPr>
        <w:t>[</w:t>
      </w:r>
      <w:r w:rsidR="00544B45" w:rsidRPr="00544B45">
        <w:rPr>
          <w:i/>
          <w:noProof/>
        </w:rPr>
        <w:t>Carter et al.</w:t>
      </w:r>
      <w:r w:rsidR="00544B45" w:rsidRPr="00544B45">
        <w:rPr>
          <w:noProof/>
        </w:rPr>
        <w:t>, 2016]</w:t>
      </w:r>
      <w:r w:rsidRPr="00C579C0">
        <w:fldChar w:fldCharType="end"/>
      </w:r>
      <w:r>
        <w:t xml:space="preserve">. </w:t>
      </w:r>
      <w:r w:rsidR="00283CD1">
        <w:t xml:space="preserve">Salinity and </w:t>
      </w:r>
      <w:r w:rsidR="00BB0BB4">
        <w:t>temperature</w:t>
      </w:r>
      <w:r w:rsidR="00283CD1">
        <w:t xml:space="preserve"> </w:t>
      </w:r>
      <w:r>
        <w:t>data are not rigorously quality controlled for the SOCAT database</w:t>
      </w:r>
      <w:r w:rsidR="00D15F8B">
        <w:t xml:space="preserve"> </w:t>
      </w:r>
      <w:r w:rsidR="00D15F8B">
        <w:fldChar w:fldCharType="begin" w:fldLock="1"/>
      </w:r>
      <w:r w:rsidR="006B19BF">
        <w:instrText>ADDIN CSL_CITATION { "citationItems" : [ { "id" : "ITEM-1", "itemData" : { "DOI" : "10.5194/essd-8-383-2016", "ISSN" : "1866-3516", "abstract" : "The Surface Ocean CO2 Atlas (SOCAT) is a synthesis of quality-controlled fCO2 (fugacity of carbon dioxide) values for the global surface oceans and coastal seas with regular updates. Version 3 of SOCAT has 14.7 million fCO2 values from 3646 data sets covering the years 1957 to 2014. This latest version has an additional 4.6 million fCO2 values relative to version 2 and extends the record from 2011 to 2014. Version 3 also significantly increases the data availability for 2005 to 2013. SOCAT has an average of approximately 1.2 million surface water fCO2 values per year for the years 2006 to 2012. Quality and documentation of the data has improved. A new feature is the data set quality control (QC) flag of E for data from alternative sensors and platforms. The accuracy of surface water fCO2 has been defined for all data set QC flags. Automated range checking has been carried out for all data sets during their upload into SOCAT. The upgrade of the interactive Data Set Viewer (previously known as the Cruise Data Viewer) allows better interrogation of the SOCAT data collection and rapid creation of high-quality figures for scientific presentations. Automated data upload has been launched for version 4 and will enable more frequent SOCAT releases in the future. High-profile scientific applications of SOCAT include quantification of the ocean sink for atmospheric carbon dioxide and its long-term variation, detection of ocean acidification, as well as evaluation of coupled-climate and ocean-only biogeochemical models. Users of SOCAT data products are urged to acknowledge the contribution of data providers, as stated in the SOCAT Fair Data Use Statement. This ESSD (Earth System Science Data) \"living data\" publication documents the methods and data sets used for the assembly of this new version of the SOCAT data collection and compares these with those used for earlier versions of the data collection (Pfeil et al., 2013; Sabine et al., 2013; Bakker et al., 2014). Individual data set files, included in the synthesis product, can be downloaded here: doi:10.1594/PANGAEA.849770. The gridded products are available here: doi:10.3334/CDIAC/OTG.SOCAT_V3_GRID.", "author" : [ { "dropping-particle" : "", "family" : "Bakker", "given" : "Dorothee C. E.", "non-dropping-particle" : "", "parse-names" : false, "suffix" : "" }, { "dropping-particle" : "", "family" : "Pfeil", "given" : "Benjamin", "non-dropping-particle" : "", "parse-names" : false, "suffix" : "" }, { "dropping-particle" : "", "family" : "Landa", "given" : "Camilla S.", "non-dropping-particle" : "", "parse-names" : false, "suffix" : "" }, { "dropping-particle" : "", "family" : "Metzl", "given" : "Nicolas", "non-dropping-particle" : "", "parse-names" : false, "suffix" : "" }, { "dropping-particle" : "", "family" : "O&amp;amp;apos;Brien", "given" : "Kevin M.", "non-dropping-particle" : "", "parse-names" : false, "suffix" : "" }, { "dropping-particle" : "", "family" : "Olsen", "given" : "Are", "non-dropping-particle" : "", "parse-names" : false, "suffix" : "" }, { "dropping-particle" : "", "family" : "Smith", "given" : "Karl", "non-dropping-particle" : "", "parse-names" : false, "suffix" : "" }, { "dropping-particle" : "", "family" : "Cosca", "given" : "Cathy", "non-dropping-particle" : "", "parse-names" : false, "suffix" : "" }, { "dropping-particle" : "", "family" : "Harasawa", "given" : "Sumiko", "non-dropping-particle" : "", "parse-names" : false, "suffix" : "" }, { "dropping-particle" : "", "family" : "Jones", "given" : "Stephen D.", "non-dropping-particle" : "", "parse-names" : false, "suffix" : "" }, { "dropping-particle" : "", "family" : "Nakaoka", "given" : "Shin-ichiro", "non-dropping-particle" : "", "parse-names" : false, "suffix" : "" }, { "dropping-particle" : "", "family" : "Nojiri", "given" : "Yukihiro", "non-dropping-particle" : "", "parse-names" : false, "suffix" : "" }, { "dropping-particle" : "", "family" : "Schuster", "given" : "Ute", "non-dropping-particle" : "", "parse-names" : false, "suffix" : "" }, { "dropping-particle" : "", "family" : "Steinhoff", "given" : "Tobias", "non-dropping-particle" : "", "parse-names" : false, "suffix" : "" }, { "dropping-particle" : "", "family" : "Sweeney", "given" : "Colm", "non-dropping-particle" : "", "parse-names" : false, "suffix" : "" }, { "dropping-particle" : "", "family" : "Takahashi", "given" : "Taro", "non-dropping-particle" : "", "parse-names" : false, "suffix" : "" }, { "dropping-particle" : "", "family" : "Tilbrook", "given" : "Bronte", "non-dropping-particle" : "", "parse-names" : false, "suffix" : "" }, { "dropping-particle" : "", "family" : "Wada", "given" : "Chisato", "non-dropping-particle" : "", "parse-names" : false, "suffix" : "" }, { "dropping-particle" : "", "family" : "Wanninkhof", "given" : "Rik", "non-dropping-particle" : "", "parse-names" : false, "suffix" : "" }, { "dropping-particle" : "", "family" : "Alin", "given" : "Simone R.", "non-dropping-particle" : "", "parse-names" : false, "suffix" : "" }, { "dropping-particle" : "", "family" : "Balestrini", "given" : "Carlos F.", "non-dropping-particle" : "", "parse-names" : false, "suffix" : "" }, { "dropping-particle" : "", "family" : "Barbero", "given" : "Leticia", "non-dropping-particle" : "", "parse-names" : false, "suffix" : "" }, { "dropping-particle" : "", "family" : "Bates", "given" : "Nicholas R.", "non-dropping-particle" : "", "parse-names" : false, "suffix" : "" }, { "dropping-particle" : "", "family" : "Bianchi", "given" : "Alejandro A.", "non-dropping-particle" : "", "parse-names" : false, "suffix" : "" }, { "dropping-particle" : "", "family" : "Bonou", "given" : "Fr\u00e9d\u00e9ric", "non-dropping-particle" : "", "parse-names" : false, "suffix" : "" }, { "dropping-particle" : "", "family" : "Boutin", "given" : "Jacqueline", "non-dropping-particle" : "", "parse-names" : false, "suffix" : "" }, { "dropping-particle" : "", "family" : "Bozec", "given" : "Yann", "non-dropping-particle" : "", "parse-names" : false, "suffix" : "" }, { "dropping-particle" : "", "family" : "Burger", "given" : "Eugene F.", "non-dropping-particle" : "", "parse-names" : false, "suffix" : "" }, { "dropping-particle" : "", "family" : "Cai", "given" : "Wei-Jun", "non-dropping-particle" : "", "parse-names" : false, "suffix" : "" }, { "dropping-particle" : "", "family" : "Castle", "given" : "Robert D.", "non-dropping-particle" : "", "parse-names" : false, "suffix" : "" }, { "dropping-particle" : "", "family" : "Chen", "given" : "Liqi", "non-dropping-particle" : "", "parse-names" : false, "suffix" : "" }, { "dropping-particle" : "", "family" : "Chierici", "given" : "Melissa", "non-dropping-particle" : "", "parse-names" : false, "suffix" : "" }, { "dropping-particle" : "", "family" : "Currie", "given" : "Kim", "non-dropping-particle" : "", "parse-names" : false, "suffix" : "" }, { "dropping-particle" : "", "family" : "Evans", "given" : "Wiley", "non-dropping-particle" : "", "parse-names" : false, "suffix" : "" }, { "dropping-particle" : "", "family" : "Featherstone", "given" : "Charles", "non-dropping-particle" : "", "parse-names" : false, "suffix" : "" }, { "dropping-particle" : "", "family" : "Feely", "given" : "Richard A.", "non-dropping-particle" : "", "parse-names" : false, "suffix" : "" }, { "dropping-particle" : "", "family" : "Fransson", "given" : "Agneta", "non-dropping-particle" : "", "parse-names" : false, "suffix" : "" }, { "dropping-particle" : "", "family" : "Goyet", "given" : "Catherine", "non-dropping-particle" : "", "parse-names" : false, "suffix" : "" }, { "dropping-particle" : "", "family" : "Greenwood", "given" : "Naomi", "non-dropping-particle" : "", "parse-names" : false, "suffix" : "" }, { "dropping-particle" : "", "family" : "Gregor", "given" : "Luke", "non-dropping-particle" : "", "parse-names" : false, "suffix" : "" }, { "dropping-particle" : "", "family" : "Hankin", "given" : "Steven", "non-dropping-particle" : "", "parse-names" : false, "suffix" : "" }, { "dropping-particle" : "", "family" : "Hardman-Mountford", "given" : "Nick J.", "non-dropping-particle" : "", "parse-names" : false, "suffix" : "" }, { "dropping-particle" : "", "family" : "Harlay", "given" : "J\u00e9r\u00f4me", "non-dropping-particle" : "", "parse-names" : false, "suffix" : "" }, { "dropping-particle" : "", "family" : "Hauck", "given" : "Judith", "non-dropping-particle" : "", "parse-names" : false, "suffix" : "" }, { "dropping-particle" : "", "family" : "Hoppema", "given" : "Mario", "non-dropping-particle" : "", "parse-names" : false, "suffix" : "" }, { "dropping-particle" : "", "family" : "Humphreys", "given" : "Matthew P.", "non-dropping-particle" : "", "parse-names" : false, "suffix" : "" }, { "dropping-particle" : "", "family" : "Hunt", "given" : "Christopher W.", "non-dropping-particle" : "", "parse-names" : false, "suffix" : "" }, { "dropping-particle" : "", "family" : "Huss", "given" : "Betty", "non-dropping-particle" : "", "parse-names" : false, "suffix" : "" }, { "dropping-particle" : "", "family" : "Ib\u00e1nhez", "given" : "J. Severino P.", "non-dropping-particle" : "", "parse-names" : false, "suffix" : "" }, { "dropping-particle" : "", "family" : "Johannessen", "given" : "Truls", "non-dropping-particle" : "", "parse-names" : false, "suffix" : "" }, { "dropping-particle" : "", "family" : "Keeling", "given" : "Ralph", "non-dropping-particle" : "", "parse-names" : false, "suffix" : "" }, { "dropping-particle" : "", "family" : "Kitidis", "given" : "Vassilis", "non-dropping-particle" : "", "parse-names" : false, "suffix" : "" }, { "dropping-particle" : "", "family" : "K\u00f6rtzinger", "given" : "Arne", "non-dropping-particle" : "", "parse-names" : false, "suffix" : "" }, { "dropping-particle" : "", "family" : "Kozyr", "given" : "Alex", "non-dropping-particle" : "", "parse-names" : false, "suffix" : "" }, { "dropping-particle" : "", "family" : "Krasakopoulou", "given" : "Evangelia", "non-dropping-particle" : "", "parse-names" : false, "suffix" : "" }, { "dropping-particle" : "", "family" : "Kuwata", "given" : "Akira", "non-dropping-particle" : "", "parse-names" : false, "suffix" : "" }, { "dropping-particle" : "", "family" : "Landsch\u00fctzer", "given" : "Peter", "non-dropping-particle" : "", "parse-names" : false, "suffix" : "" }, { "dropping-particle" : "", "family" : "Lauvset", "given" : "Siv K.", "non-dropping-particle" : "", "parse-names" : false, "suffix" : "" }, { "dropping-particle" : "", "family" : "Lef\u00e8vre", "given" : "Nathalie", "non-dropping-particle" : "", "parse-names" : false, "suffix" : "" }, { "dropping-particle" : "", "family" : "Monaco", "given" : "Claire", "non-dropping-particle" : "Lo", "parse-names" : false, "suffix" : "" }, { "dropping-particle" : "", "family" : "Manke", "given" : "Ansley", "non-dropping-particle" : "", "parse-names" : false, "suffix" : "" }, { "dropping-particle" : "", "family" : "Mathis", "given" : "Jeremy T.", "non-dropping-particle" : "", "parse-names" : false, "suffix" : "" }, { "dropping-particle" : "", "family" : "Merlivat", "given" : "Liliane", "non-dropping-particle" : "", "parse-names" : false, "suffix" : "" }, { "dropping-particle" : "", "family" : "Millero", "given" : "Frank J.", "non-dropping-particle" : "", "parse-names" : false, "suffix" : "" }, { "dropping-particle" : "", "family" : "Monteiro", "given" : "Pedro M. S.", "non-dropping-particle" : "", "parse-names" : false, "suffix" : "" }, { "dropping-particle" : "", "family" : "Munro", "given" : "David R.", "non-dropping-particle" : "", "parse-names" : false, "suffix" : "" }, { "dropping-particle" : "", "family" : "Murata", "given" : "Akihiko", "non-dropping-particle" : "", "parse-names" : false, "suffix" : "" }, { "dropping-particle" : "", "family" : "Newberger", "given" : "Timothy", "non-dropping-particle" : "", "parse-names" : false, "suffix" : "" }, { "dropping-particle" : "", "family" : "Omar", "given" : "Abdirahman M.", "non-dropping-particle" : "", "parse-names" : false, "suffix" : "" }, { "dropping-particle" : "", "family" : "Ono", "given" : "Tsuneo", "non-dropping-particle" : "", "parse-names" : false, "suffix" : "" }, { "dropping-particle" : "", "family" : "Paterson", "given" : "Kristina", "non-dropping-particle" : "", "parse-names" : false, "suffix" : "" }, { "dropping-particle" : "", "family" : "Pearce", "given" : "David", "non-dropping-particle" : "", "parse-names" : false, "suffix" : "" }, { "dropping-particle" : "", "family" : "Pierrot", "given" : "Denis", "non-dropping-particle" : "", "parse-names" : false, "suffix" : "" }, { "dropping-particle" : "", "family" : "Robbins", "given" : "Lisa L.", "non-dropping-particle" : "", "parse-names" : false, "suffix" : "" }, { "dropping-particle" : "", "family" : "Saito", "given" : "Shu", "non-dropping-particle" : "", "parse-names" : false, "suffix" : "" }, { "dropping-particle" : "", "family" : "Salisbury", "given" : "Joe", "non-dropping-particle" : "", "parse-names" : false, "suffix" : "" }, { "dropping-particle" : "", "family" : "Schlitzer", "given" : "Reiner", "non-dropping-particle" : "", "parse-names" : false, "suffix" : "" }, { "dropping-particle" : "", "family" : "Schneider", "given" : "Bernd", "non-dropping-particle" : "", "parse-names" : false, "suffix" : "" }, { "dropping-particle" : "", "family" : "Schweitzer", "given" : "Roland", "non-dropping-particle" : "", "parse-names" : false, "suffix" : "" }, { "dropping-particle" : "", "family" : "Sieger", "given" : "Rainer", "non-dropping-particle" : "", "parse-names" : false, "suffix" : "" }, { "dropping-particle" : "", "family" : "Skjelvan", "given" : "Ingunn", "non-dropping-particle" : "", "parse-names" : false, "suffix" : "" }, { "dropping-particle" : "", "family" : "Sullivan", "given" : "Kevin F.", "non-dropping-particle" : "", "parse-names" : false, "suffix" : "" }, { "dropping-particle" : "", "family" : "Sutherland", "given" : "Stewart C.", "non-dropping-particle" : "", "parse-names" : false, "suffix" : "" }, { "dropping-particle" : "", "family" : "Sutton", "given" : "Adrienne J.", "non-dropping-particle" : "", "parse-names" : false, "suffix" : "" }, { "dropping-particle" : "", "family" : "Tadokoro", "given" : "Kazuaki", "non-dropping-particle" : "", "parse-names" : false, "suffix" : "" }, { "dropping-particle" : "", "family" : "Telszewski", "given" : "Maciej", "non-dropping-particle" : "", "parse-names" : false, "suffix" : "" }, { "dropping-particle" : "", "family" : "Tuma", "given" : "Matthias", "non-dropping-particle" : "", "parse-names" : false, "suffix" : "" }, { "dropping-particle" : "", "family" : "Heuven", "given" : "Steven M. A. C.", "non-dropping-particle" : "van", "parse-names" : false, "suffix" : "" }, { "dropping-particle" : "", "family" : "Vandemark", "given" : "Doug", "non-dropping-particle" : "", "parse-names" : false, "suffix" : "" }, { "dropping-particle" : "", "family" : "Ward", "given" : "Brian", "non-dropping-particle" : "", "parse-names" : false, "suffix" : "" }, { "dropping-particle" : "", "family" : "Watson", "given" : "Andrew J.", "non-dropping-particle" : "", "parse-names" : false, "suffix" : "" }, { "dropping-particle" : "", "family" : "Xu", "given" : "Suqing", "non-dropping-particle" : "", "parse-names" : false, "suffix" : "" } ], "container-title" : "Earth System Science Data", "id" : "ITEM-1", "issue" : "2", "issued" : { "date-parts" : [ [ "2016", "9", "15" ] ] }, "page" : "383-413", "title" : "A multi-decade record of high-quality &lt;i&gt;f&lt;/i&gt;CO&lt;sub&gt;2&lt;/sub&gt; data in version 3 of the Surface Ocean CO&lt;sub&gt;2&lt;/sub&gt; Atlas (SOCAT)", "type" : "article-journal", "volume" : "8" }, "uris" : [ "http://www.mendeley.com/documents/?uuid=f254cbcf-d801-4843-8237-5c1624d22507" ] }, { "id" : "ITEM-2", "itemData" : { "DOI" : "10.5194/essd-5-125-2013", "ISBN" : "1866-3591", "ISSN" : "18663508", "abstract" : "A well-documented, publicly available, global data set of surface ocean carbon dioxide (CO2) parameters has been called for by international groups for nearly two decades. The Surface Ocean CO2 Atlas (SOCAT) project was initiated by the international marine carbon science community in 2007 with the aim of providing a comprehensive, publicly available, regularly updated, global data set of marine surface CO2, which had been subject to quality control (QC). Many additional CO2 data, not yet made public via the Carbon Dioxide Information Analysis Center (CDIAC), were retrieved from data originators, public websites and other data centres. All data were put in a uniform format following a strict protocol. Quality control was carried out according to clearly defined criteria. Regional specialists performed the quality control, using state-of-the-art web-based tools, specially developed for accomplishing this global team effort. SOCAT version 1.5 was made public in September 2011 and holds 6.3 million quality controlled surface CO2 data points from the global oceans and coastal seas, spanning four decades (1968\u20132007). Three types of data products are available: individual cruise files, a merged complete data set and gridded products. With the rapid expansion of marine CO2 data collection and the importance of quantifying net global oceanic CO2 uptake and its changes, sustained data synthesis and data access are priorities", "author" : [ { "dropping-particle" : "", "family" : "Pfeil", "given" : "B.", "non-dropping-particle" : "", "parse-names" : false, "suffix" : "" }, { "dropping-particle" : "", "family" : "Olsen", "given" : "A.", "non-dropping-particle" : "", "parse-names" : false, "suffix" : "" }, { "dropping-particle" : "", "family" : "Bakker", "given" : "D. C. E.", "non-dropping-particle" : "", "parse-names" : false, "suffix" : "" }, { "dropping-particle" : "", "family" : "Hankin", "given" : "S.", "non-dropping-particle" : "", "parse-names" : false, "suffix" : "" }, { "dropping-particle" : "", "family" : "Koyuk", "given" : "H.", "non-dropping-particle" : "", "parse-names" : false, "suffix" : "" }, { "dropping-particle" : "", "family" : "Kozyr", "given" : "A.", "non-dropping-particle" : "", "parse-names" : false, "suffix" : "" }, { "dropping-particle" : "", "family" : "Malczyk", "given" : "J.", "non-dropping-particle" : "", "parse-names" : false, "suffix" : "" }, { "dropping-particle" : "", "family" : "Manke", "given" : "A.", "non-dropping-particle" : "", "parse-names" : false, "suffix" : "" }, { "dropping-particle" : "", "family" : "Metzl", "given" : "N.", "non-dropping-particle" : "", "parse-names" : false, "suffix" : "" }, { "dropping-particle" : "", "family" : "Sabine", "given" : "C. L.", "non-dropping-particle" : "", "parse-names" : false, "suffix" : "" }, { "dropping-particle" : "", "family" : "Akl", "given" : "J.", "non-dropping-particle" : "", "parse-names" : false, "suffix" : "" }, { "dropping-particle" : "", "family" : "Alin", "given" : "S.R.", "non-dropping-particle" : "", "parse-names" : false, "suffix" : "" }, { "dropping-particle" : "", "family" : "Bates", "given" : "N.R.", "non-dropping-particle" : "", "parse-names" : false, "suffix" : "" }, { "dropping-particle" : "", "family" : "Bellerby", "given" : "R. G J", "non-dropping-particle" : "", "parse-names" : false, "suffix" : "" }, { "dropping-particle" : "V", "family" : "Borges", "given" : "A", "non-dropping-particle" : "", "parse-names" : false, "suffix" : "" }, { "dropping-particle" : "", "family" : "Boutin", "given" : "J.", "non-dropping-particle" : "", "parse-names" : false, "suffix" : "" }, { "dropping-particle" : "", "family" : "Brown", "given" : "P. J.", "non-dropping-particle" : "", "parse-names" : false, "suffix" : "" }, { "dropping-particle" : "", "family" : "Cai", "given" : "W.-J.", "non-dropping-particle" : "", "parse-names" : false, "suffix" : "" }, { "dropping-particle" : "", "family" : "Chavez", "given" : "F. P.", "non-dropping-particle" : "", "parse-names" : false, "suffix" : "" }, { "dropping-particle" : "", "family" : "Chen", "given" : "A.", "non-dropping-particle" : "", "parse-names" : false, "suffix" : "" }, { "dropping-particle" : "", "family" : "Cosca", "given" : "C. E.", "non-dropping-particle" : "", "parse-names" : false, "suffix" : "" }, { "dropping-particle" : "", "family" : "Fassbender", "given" : "A.J.", "non-dropping-particle" : "", "parse-names" : false, "suffix" : "" }, { "dropping-particle" : "", "family" : "Feely", "given" : "R.A.", "non-dropping-particle" : "", "parse-names" : false, "suffix" : "" }, { "dropping-particle" : "", "family" : "Gonz\u00e1lez-D\u00e1vila", "given" : "M.", "non-dropping-particle" : "", "parse-names" : false, "suffix" : "" }, { "dropping-particle" : "", "family" : "Goyet", "given" : "C.", "non-dropping-particle" : "", "parse-names" : false, "suffix" : "" }, { "dropping-particle" : "", "family" : "Hales", "given" : "B.", "non-dropping-particle" : "", "parse-names" : false, "suffix" : "" }, { "dropping-particle" : "", "family" : "Hardman-Mountford", "given" : "N.", "non-dropping-particle" : "", "parse-names" : false, "suffix" : "" }, { "dropping-particle" : "", "family" : "Heinze", "given" : "C.", "non-dropping-particle" : "", "parse-names" : false, "suffix" : "" }, { "dropping-particle" : "", "family" : "Hood", "given" : "M.", "non-dropping-particle" : "", "parse-names" : false, "suffix" : "" }, { "dropping-particle" : "", "family" : "Hoppema", "given" : "M.", "non-dropping-particle" : "", "parse-names" : false, "suffix" : "" }, { "dropping-particle" : "", "family" : "Hunt", "given" : "C. W.", "non-dropping-particle" : "", "parse-names" : false, "suffix" : "" }, { "dropping-particle" : "", "family" : "Hydes", "given" : "D.", "non-dropping-particle" : "", "parse-names" : false, "suffix" : "" }, { "dropping-particle" : "", "family" : "Ishii", "given" : "M.", "non-dropping-particle" : "", "parse-names" : false, "suffix" : "" }, { "dropping-particle" : "", "family" : "Johannessen", "given" : "T.", "non-dropping-particle" : "", "parse-names" : false, "suffix" : "" }, { "dropping-particle" : "", "family" : "Jones", "given" : "S. D.", "non-dropping-particle" : "", "parse-names" : false, "suffix" : "" }, { "dropping-particle" : "", "family" : "Key", "given" : "R. M.", "non-dropping-particle" : "", "parse-names" : false, "suffix" : "" }, { "dropping-particle" : "", "family" : "K\u00f6rtzinger", "given" : "A.", "non-dropping-particle" : "", "parse-names" : false, "suffix" : "" }, { "dropping-particle" : "", "family" : "Landsch\u00fctzer", "given" : "P.", "non-dropping-particle" : "", "parse-names" : false, "suffix" : "" }, { "dropping-particle" : "", "family" : "Lauvset", "given" : "S. K.", "non-dropping-particle" : "", "parse-names" : false, "suffix" : "" }, { "dropping-particle" : "", "family" : "Lef\u00e8vre", "given" : "N.", "non-dropping-particle" : "", "parse-names" : false, "suffix" : "" }, { "dropping-particle" : "", "family" : "Lenton", "given" : "A.", "non-dropping-particle" : "", "parse-names" : false, "suffix" : "" }, { "dropping-particle" : "", "family" : "Lourantou", "given" : "A.", "non-dropping-particle" : "", "parse-names" : false, "suffix" : "" }, { "dropping-particle" : "", "family" : "Merlivat", "given" : "L.", "non-dropping-particle" : "", "parse-names" : false, "suffix" : "" }, { "dropping-particle" : "", "family" : "Midorikawa", "given" : "T.", "non-dropping-particle" : "", "parse-names" : false, "suffix" : "" }, { "dropping-particle" : "", "family" : "Mintrop", "given" : "L.", "non-dropping-particle" : "", "parse-names" : false, "suffix" : "" }, { "dropping-particle" : "", "family" : "Miyazaki", "given" : "C.", "non-dropping-particle" : "", "parse-names" : false, "suffix" : "" }, { "dropping-particle" : "", "family" : "Murata", "given" : "A.", "non-dropping-particle" : "", "parse-names" : false, "suffix" : "" }, { "dropping-particle" : "", "family" : "Nakadate", "given" : "A.", "non-dropping-particle" : "", "parse-names" : false, "suffix" : "" }, { "dropping-particle" : "", "family" : "Nakano", "given" : "Y.", "non-dropping-particle" : "", "parse-names" : false, "suffix" : "" }, { "dropping-particle" : "", "family" : "Nakaoka", "given" : "S.", "non-dropping-particle" : "", "parse-names" : false, "suffix" : "" }, { "dropping-particle" : "", "family" : "Nojiri", "given" : "Y.", "non-dropping-particle" : "", "parse-names" : false, "suffix" : "" }, { "dropping-particle" : "", "family" : "Omar", "given" : "a. M.", "non-dropping-particle" : "", "parse-names" : false, "suffix" : "" }, { "dropping-particle" : "", "family" : "Padin", "given" : "X. a.", "non-dropping-particle" : "", "parse-names" : false, "suffix" : "" }, { "dropping-particle" : "", "family" : "Park", "given" : "G. H.", "non-dropping-particle" : "", "parse-names" : false, "suffix" : "" }, { "dropping-particle" : "", "family" : "Paterson", "given" : "K.", "non-dropping-particle" : "", "parse-names" : false, "suffix" : "" }, { "dropping-particle" : "", "family" : "Perez", "given" : "F. F.", "non-dropping-particle" : "", "parse-names" : false, "suffix" : "" }, { "dropping-particle" : "", "family" : "Pierrot", "given" : "D.", "non-dropping-particle" : "", "parse-names" : false, "suffix" : "" }, { "dropping-particle" : "", "family" : "Poisson", "given" : "A.", "non-dropping-particle" : "", "parse-names" : false, "suffix" : "" }, { "dropping-particle" : "", "family" : "R\u00edos", "given" : "a. F.", "non-dropping-particle" : "", "parse-names" : false, "suffix" : "" }, { "dropping-particle" : "", "family" : "Santana-Casiano", "given" : "J. M.", "non-dropping-particle" : "", "parse-names" : false, "suffix" : "" }, { "dropping-particle" : "", "family" : "Salisbury", "given" : "J E", "non-dropping-particle" : "", "parse-names" : false, "suffix" : "" }, { "dropping-particle" : "", "family" : "Sarma", "given" : "V. V S S", "non-dropping-particle" : "", "parse-names" : false, "suffix" : "" }, { "dropping-particle" : "", "family" : "Schlitzer", "given" : "R.", "non-dropping-particle" : "", "parse-names" : false, "suffix" : "" }, { "dropping-particle" : "", "family" : "Schneider", "given" : "B.", "non-dropping-particle" : "", "parse-names" : false, "suffix" : "" }, { "dropping-particle" : "", "family" : "Schuster", "given" : "U.", "non-dropping-particle" : "", "parse-names" : false, "suffix" : "" }, { "dropping-particle" : "", "family" : "Sieger", "given" : "R.", "non-dropping-particle" : "", "parse-names" : false, "suffix" : "" }, { "dropping-particle" : "", "family" : "Skjelvan", "given" : "I.", "non-dropping-particle" : "", "parse-names" : false, "suffix" : "" }, { "dropping-particle" : "", "family" : "Steinhoff", "given" : "T.", "non-dropping-particle" : "", "parse-names" : false, "suffix" : "" }, { "dropping-particle" : "", "family" : "Suzuki", "given" : "T.", "non-dropping-particle" : "", "parse-names" : false, "suffix" : "" }, { "dropping-particle" : "", "family" : "Takahashi", "given" : "T.", "non-dropping-particle" : "", "parse-names" : false, "suffix" : "" }, { "dropping-particle" : "", "family" : "Tedesco", "given" : "K.", "non-dropping-particle" : "", "parse-names" : false, "suffix" : "" }, { "dropping-particle" : "", "family" : "Telszewski", "given" : "M.", "non-dropping-particle" : "", "parse-names" : false, "suffix" : "" }, { "dropping-particle" : "", "family" : "Thomas", "given" : "H.", "non-dropping-particle" : "", "parse-names" : false, "suffix" : "" }, { "dropping-particle" : "", "family" : "Tilbrook", "given" : "B.", "non-dropping-particle" : "", "parse-names" : false, "suffix" : "" }, { "dropping-particle" : "", "family" : "Tjiputra", "given" : "J.", "non-dropping-particle" : "", "parse-names" : false, "suffix" : "" }, { "dropping-particle" : "", "family" : "Vandemark", "given" : "D.", "non-dropping-particle" : "", "parse-names" : false, "suffix" : "" }, { "dropping-particle" : "", "family" : "Veness", "given" : "T.", "non-dropping-particle" : "", "parse-names" : false, "suffix" : "" }, { "dropping-particle" : "", "family" : "Wanninkhof", "given" : "R.", "non-dropping-particle" : "", "parse-names" : false, "suffix" : "" }, { "dropping-particle" : "", "family" : "Watson", "given" : "A.J.", "non-dropping-particle" : "", "parse-names" : false, "suffix" : "" }, { "dropping-particle" : "", "family" : "Weiss", "given" : "R.", "non-dropping-particle" : "", "parse-names" : false, "suffix" : "" }, { "dropping-particle" : "", "family" : "Wong", "given" : "C. S.", "non-dropping-particle" : "", "parse-names" : false, "suffix" : "" }, { "dropping-particle" : "", "family" : "Yoshikawa-Inoue", "given" : "H.", "non-dropping-particle" : "", "parse-names" : false, "suffix" : "" } ], "container-title" : "Earth System Science Data", "id" : "ITEM-2", "issue" : "1", "issued" : { "date-parts" : [ [ "2013" ] ] }, "page" : "125-143", "title" : "A uniform, quality controlled Surface Ocean CO&lt;sub&gt;2&lt;/sub&gt; Atlas (SOCAT)", "type" : "article-journal", "volume" : "5" }, "uris" : [ "http://www.mendeley.com/documents/?uuid=828363c2-7e02-4e17-b82e-5b4f29180a20" ] } ], "mendeley" : { "formattedCitation" : "[&lt;i&gt;Pfeil et al.&lt;/i&gt;, 2013; &lt;i&gt;Bakker et al.&lt;/i&gt;, 2016]", "plainTextFormattedCitation" : "[Pfeil et al., 2013; Bakker et al., 2016]", "previouslyFormattedCitation" : "[&lt;i&gt;Pfeil et al.&lt;/i&gt;, 2013; &lt;i&gt;Bakker et al.&lt;/i&gt;, 2016]" }, "properties" : { "noteIndex" : 0 }, "schema" : "https://github.com/citation-style-language/schema/raw/master/csl-citation.json" }</w:instrText>
      </w:r>
      <w:r w:rsidR="00D15F8B">
        <w:fldChar w:fldCharType="separate"/>
      </w:r>
      <w:r w:rsidR="00544B45" w:rsidRPr="00544B45">
        <w:rPr>
          <w:noProof/>
        </w:rPr>
        <w:t>[</w:t>
      </w:r>
      <w:r w:rsidR="00544B45" w:rsidRPr="00544B45">
        <w:rPr>
          <w:i/>
          <w:noProof/>
        </w:rPr>
        <w:t>Pfeil et al.</w:t>
      </w:r>
      <w:r w:rsidR="00544B45" w:rsidRPr="00544B45">
        <w:rPr>
          <w:noProof/>
        </w:rPr>
        <w:t xml:space="preserve">, 2013; </w:t>
      </w:r>
      <w:r w:rsidR="00544B45" w:rsidRPr="00544B45">
        <w:rPr>
          <w:i/>
          <w:noProof/>
        </w:rPr>
        <w:t>Bakker et al.</w:t>
      </w:r>
      <w:r w:rsidR="00544B45" w:rsidRPr="00544B45">
        <w:rPr>
          <w:noProof/>
        </w:rPr>
        <w:t>, 2016]</w:t>
      </w:r>
      <w:r w:rsidR="00D15F8B">
        <w:fldChar w:fldCharType="end"/>
      </w:r>
      <w:r w:rsidR="003B0218">
        <w:t>, though data-</w:t>
      </w:r>
      <w:r>
        <w:t xml:space="preserve">submitting PI’s </w:t>
      </w:r>
      <w:r w:rsidR="00243A5E">
        <w:t xml:space="preserve">often </w:t>
      </w:r>
      <w:r>
        <w:t xml:space="preserve">rely on these observations to quality control the </w:t>
      </w:r>
      <w:r>
        <w:rPr>
          <w:i/>
        </w:rPr>
        <w:t>f</w:t>
      </w:r>
      <w:r w:rsidRPr="00D52807">
        <w:t>CO</w:t>
      </w:r>
      <w:r w:rsidRPr="00D52807">
        <w:rPr>
          <w:vertAlign w:val="subscript"/>
        </w:rPr>
        <w:t>2</w:t>
      </w:r>
      <w:r>
        <w:t xml:space="preserve"> data</w:t>
      </w:r>
      <w:r w:rsidR="00D15F8B">
        <w:t xml:space="preserve"> and</w:t>
      </w:r>
      <w:r w:rsidR="00283CD1">
        <w:t>,</w:t>
      </w:r>
      <w:r w:rsidR="00D15F8B">
        <w:t xml:space="preserve"> </w:t>
      </w:r>
      <w:r w:rsidR="00243A5E">
        <w:t xml:space="preserve">in the absence of </w:t>
      </w:r>
      <w:r w:rsidR="00D15F8B" w:rsidRPr="00D15F8B">
        <w:rPr>
          <w:i/>
        </w:rPr>
        <w:t>in situ</w:t>
      </w:r>
      <w:r w:rsidR="00D15F8B">
        <w:t xml:space="preserve"> salinity measurements</w:t>
      </w:r>
      <w:r w:rsidR="00283CD1">
        <w:t>,</w:t>
      </w:r>
      <w:r w:rsidR="00D15F8B">
        <w:t xml:space="preserve"> World Ocean Atlas 2005 </w:t>
      </w:r>
      <w:r w:rsidR="00283CD1">
        <w:t xml:space="preserve">salinity </w:t>
      </w:r>
      <w:r w:rsidR="00D15F8B">
        <w:t>data</w:t>
      </w:r>
      <w:r w:rsidR="00243A5E">
        <w:t xml:space="preserve"> are used</w:t>
      </w:r>
      <w:r w:rsidR="00283CD1">
        <w:t xml:space="preserve"> to fill in gaps</w:t>
      </w:r>
      <w:r w:rsidR="00BB0BB4">
        <w:t xml:space="preserve"> </w:t>
      </w:r>
      <w:r w:rsidR="00BB0BB4">
        <w:fldChar w:fldCharType="begin" w:fldLock="1"/>
      </w:r>
      <w:r w:rsidR="006B19BF">
        <w:instrText>ADDIN CSL_CITATION { "citationItems" : [ { "id" : "ITEM-1", "itemData" : { "DOI" : "10.5194/essd-8-383-2016", "ISSN" : "1866-3516", "abstract" : "The Surface Ocean CO2 Atlas (SOCAT) is a synthesis of quality-controlled fCO2 (fugacity of carbon dioxide) values for the global surface oceans and coastal seas with regular updates. Version 3 of SOCAT has 14.7 million fCO2 values from 3646 data sets covering the years 1957 to 2014. This latest version has an additional 4.6 million fCO2 values relative to version 2 and extends the record from 2011 to 2014. Version 3 also significantly increases the data availability for 2005 to 2013. SOCAT has an average of approximately 1.2 million surface water fCO2 values per year for the years 2006 to 2012. Quality and documentation of the data has improved. A new feature is the data set quality control (QC) flag of E for data from alternative sensors and platforms. The accuracy of surface water fCO2 has been defined for all data set QC flags. Automated range checking has been carried out for all data sets during their upload into SOCAT. The upgrade of the interactive Data Set Viewer (previously known as the Cruise Data Viewer) allows better interrogation of the SOCAT data collection and rapid creation of high-quality figures for scientific presentations. Automated data upload has been launched for version 4 and will enable more frequent SOCAT releases in the future. High-profile scientific applications of SOCAT include quantification of the ocean sink for atmospheric carbon dioxide and its long-term variation, detection of ocean acidification, as well as evaluation of coupled-climate and ocean-only biogeochemical models. Users of SOCAT data products are urged to acknowledge the contribution of data providers, as stated in the SOCAT Fair Data Use Statement. This ESSD (Earth System Science Data) \"living data\" publication documents the methods and data sets used for the assembly of this new version of the SOCAT data collection and compares these with those used for earlier versions of the data collection (Pfeil et al., 2013; Sabine et al., 2013; Bakker et al., 2014). Individual data set files, included in the synthesis product, can be downloaded here: doi:10.1594/PANGAEA.849770. The gridded products are available here: doi:10.3334/CDIAC/OTG.SOCAT_V3_GRID.", "author" : [ { "dropping-particle" : "", "family" : "Bakker", "given" : "Dorothee C. E.", "non-dropping-particle" : "", "parse-names" : false, "suffix" : "" }, { "dropping-particle" : "", "family" : "Pfeil", "given" : "Benjamin", "non-dropping-particle" : "", "parse-names" : false, "suffix" : "" }, { "dropping-particle" : "", "family" : "Landa", "given" : "Camilla S.", "non-dropping-particle" : "", "parse-names" : false, "suffix" : "" }, { "dropping-particle" : "", "family" : "Metzl", "given" : "Nicolas", "non-dropping-particle" : "", "parse-names" : false, "suffix" : "" }, { "dropping-particle" : "", "family" : "O&amp;amp;apos;Brien", "given" : "Kevin M.", "non-dropping-particle" : "", "parse-names" : false, "suffix" : "" }, { "dropping-particle" : "", "family" : "Olsen", "given" : "Are", "non-dropping-particle" : "", "parse-names" : false, "suffix" : "" }, { "dropping-particle" : "", "family" : "Smith", "given" : "Karl", "non-dropping-particle" : "", "parse-names" : false, "suffix" : "" }, { "dropping-particle" : "", "family" : "Cosca", "given" : "Cathy", "non-dropping-particle" : "", "parse-names" : false, "suffix" : "" }, { "dropping-particle" : "", "family" : "Harasawa", "given" : "Sumiko", "non-dropping-particle" : "", "parse-names" : false, "suffix" : "" }, { "dropping-particle" : "", "family" : "Jones", "given" : "Stephen D.", "non-dropping-particle" : "", "parse-names" : false, "suffix" : "" }, { "dropping-particle" : "", "family" : "Nakaoka", "given" : "Shin-ichiro", "non-dropping-particle" : "", "parse-names" : false, "suffix" : "" }, { "dropping-particle" : "", "family" : "Nojiri", "given" : "Yukihiro", "non-dropping-particle" : "", "parse-names" : false, "suffix" : "" }, { "dropping-particle" : "", "family" : "Schuster", "given" : "Ute", "non-dropping-particle" : "", "parse-names" : false, "suffix" : "" }, { "dropping-particle" : "", "family" : "Steinhoff", "given" : "Tobias", "non-dropping-particle" : "", "parse-names" : false, "suffix" : "" }, { "dropping-particle" : "", "family" : "Sweeney", "given" : "Colm", "non-dropping-particle" : "", "parse-names" : false, "suffix" : "" }, { "dropping-particle" : "", "family" : "Takahashi", "given" : "Taro", "non-dropping-particle" : "", "parse-names" : false, "suffix" : "" }, { "dropping-particle" : "", "family" : "Tilbrook", "given" : "Bronte", "non-dropping-particle" : "", "parse-names" : false, "suffix" : "" }, { "dropping-particle" : "", "family" : "Wada", "given" : "Chisato", "non-dropping-particle" : "", "parse-names" : false, "suffix" : "" }, { "dropping-particle" : "", "family" : "Wanninkhof", "given" : "Rik", "non-dropping-particle" : "", "parse-names" : false, "suffix" : "" }, { "dropping-particle" : "", "family" : "Alin", "given" : "Simone R.", "non-dropping-particle" : "", "parse-names" : false, "suffix" : "" }, { "dropping-particle" : "", "family" : "Balestrini", "given" : "Carlos F.", "non-dropping-particle" : "", "parse-names" : false, "suffix" : "" }, { "dropping-particle" : "", "family" : "Barbero", "given" : "Leticia", "non-dropping-particle" : "", "parse-names" : false, "suffix" : "" }, { "dropping-particle" : "", "family" : "Bates", "given" : "Nicholas R.", "non-dropping-particle" : "", "parse-names" : false, "suffix" : "" }, { "dropping-particle" : "", "family" : "Bianchi", "given" : "Alejandro A.", "non-dropping-particle" : "", "parse-names" : false, "suffix" : "" }, { "dropping-particle" : "", "family" : "Bonou", "given" : "Fr\u00e9d\u00e9ric", "non-dropping-particle" : "", "parse-names" : false, "suffix" : "" }, { "dropping-particle" : "", "family" : "Boutin", "given" : "Jacqueline", "non-dropping-particle" : "", "parse-names" : false, "suffix" : "" }, { "dropping-particle" : "", "family" : "Bozec", "given" : "Yann", "non-dropping-particle" : "", "parse-names" : false, "suffix" : "" }, { "dropping-particle" : "", "family" : "Burger", "given" : "Eugene F.", "non-dropping-particle" : "", "parse-names" : false, "suffix" : "" }, { "dropping-particle" : "", "family" : "Cai", "given" : "Wei-Jun", "non-dropping-particle" : "", "parse-names" : false, "suffix" : "" }, { "dropping-particle" : "", "family" : "Castle", "given" : "Robert D.", "non-dropping-particle" : "", "parse-names" : false, "suffix" : "" }, { "dropping-particle" : "", "family" : "Chen", "given" : "Liqi", "non-dropping-particle" : "", "parse-names" : false, "suffix" : "" }, { "dropping-particle" : "", "family" : "Chierici", "given" : "Melissa", "non-dropping-particle" : "", "parse-names" : false, "suffix" : "" }, { "dropping-particle" : "", "family" : "Currie", "given" : "Kim", "non-dropping-particle" : "", "parse-names" : false, "suffix" : "" }, { "dropping-particle" : "", "family" : "Evans", "given" : "Wiley", "non-dropping-particle" : "", "parse-names" : false, "suffix" : "" }, { "dropping-particle" : "", "family" : "Featherstone", "given" : "Charles", "non-dropping-particle" : "", "parse-names" : false, "suffix" : "" }, { "dropping-particle" : "", "family" : "Feely", "given" : "Richard A.", "non-dropping-particle" : "", "parse-names" : false, "suffix" : "" }, { "dropping-particle" : "", "family" : "Fransson", "given" : "Agneta", "non-dropping-particle" : "", "parse-names" : false, "suffix" : "" }, { "dropping-particle" : "", "family" : "Goyet", "given" : "Catherine", "non-dropping-particle" : "", "parse-names" : false, "suffix" : "" }, { "dropping-particle" : "", "family" : "Greenwood", "given" : "Naomi", "non-dropping-particle" : "", "parse-names" : false, "suffix" : "" }, { "dropping-particle" : "", "family" : "Gregor", "given" : "Luke", "non-dropping-particle" : "", "parse-names" : false, "suffix" : "" }, { "dropping-particle" : "", "family" : "Hankin", "given" : "Steven", "non-dropping-particle" : "", "parse-names" : false, "suffix" : "" }, { "dropping-particle" : "", "family" : "Hardman-Mountford", "given" : "Nick J.", "non-dropping-particle" : "", "parse-names" : false, "suffix" : "" }, { "dropping-particle" : "", "family" : "Harlay", "given" : "J\u00e9r\u00f4me", "non-dropping-particle" : "", "parse-names" : false, "suffix" : "" }, { "dropping-particle" : "", "family" : "Hauck", "given" : "Judith", "non-dropping-particle" : "", "parse-names" : false, "suffix" : "" }, { "dropping-particle" : "", "family" : "Hoppema", "given" : "Mario", "non-dropping-particle" : "", "parse-names" : false, "suffix" : "" }, { "dropping-particle" : "", "family" : "Humphreys", "given" : "Matthew P.", "non-dropping-particle" : "", "parse-names" : false, "suffix" : "" }, { "dropping-particle" : "", "family" : "Hunt", "given" : "Christopher W.", "non-dropping-particle" : "", "parse-names" : false, "suffix" : "" }, { "dropping-particle" : "", "family" : "Huss", "given" : "Betty", "non-dropping-particle" : "", "parse-names" : false, "suffix" : "" }, { "dropping-particle" : "", "family" : "Ib\u00e1nhez", "given" : "J. Severino P.", "non-dropping-particle" : "", "parse-names" : false, "suffix" : "" }, { "dropping-particle" : "", "family" : "Johannessen", "given" : "Truls", "non-dropping-particle" : "", "parse-names" : false, "suffix" : "" }, { "dropping-particle" : "", "family" : "Keeling", "given" : "Ralph", "non-dropping-particle" : "", "parse-names" : false, "suffix" : "" }, { "dropping-particle" : "", "family" : "Kitidis", "given" : "Vassilis", "non-dropping-particle" : "", "parse-names" : false, "suffix" : "" }, { "dropping-particle" : "", "family" : "K\u00f6rtzinger", "given" : "Arne", "non-dropping-particle" : "", "parse-names" : false, "suffix" : "" }, { "dropping-particle" : "", "family" : "Kozyr", "given" : "Alex", "non-dropping-particle" : "", "parse-names" : false, "suffix" : "" }, { "dropping-particle" : "", "family" : "Krasakopoulou", "given" : "Evangelia", "non-dropping-particle" : "", "parse-names" : false, "suffix" : "" }, { "dropping-particle" : "", "family" : "Kuwata", "given" : "Akira", "non-dropping-particle" : "", "parse-names" : false, "suffix" : "" }, { "dropping-particle" : "", "family" : "Landsch\u00fctzer", "given" : "Peter", "non-dropping-particle" : "", "parse-names" : false, "suffix" : "" }, { "dropping-particle" : "", "family" : "Lauvset", "given" : "Siv K.", "non-dropping-particle" : "", "parse-names" : false, "suffix" : "" }, { "dropping-particle" : "", "family" : "Lef\u00e8vre", "given" : "Nathalie", "non-dropping-particle" : "", "parse-names" : false, "suffix" : "" }, { "dropping-particle" : "", "family" : "Monaco", "given" : "Claire", "non-dropping-particle" : "Lo", "parse-names" : false, "suffix" : "" }, { "dropping-particle" : "", "family" : "Manke", "given" : "Ansley", "non-dropping-particle" : "", "parse-names" : false, "suffix" : "" }, { "dropping-particle" : "", "family" : "Mathis", "given" : "Jeremy T.", "non-dropping-particle" : "", "parse-names" : false, "suffix" : "" }, { "dropping-particle" : "", "family" : "Merlivat", "given" : "Liliane", "non-dropping-particle" : "", "parse-names" : false, "suffix" : "" }, { "dropping-particle" : "", "family" : "Millero", "given" : "Frank J.", "non-dropping-particle" : "", "parse-names" : false, "suffix" : "" }, { "dropping-particle" : "", "family" : "Monteiro", "given" : "Pedro M. S.", "non-dropping-particle" : "", "parse-names" : false, "suffix" : "" }, { "dropping-particle" : "", "family" : "Munro", "given" : "David R.", "non-dropping-particle" : "", "parse-names" : false, "suffix" : "" }, { "dropping-particle" : "", "family" : "Murata", "given" : "Akihiko", "non-dropping-particle" : "", "parse-names" : false, "suffix" : "" }, { "dropping-particle" : "", "family" : "Newberger", "given" : "Timothy", "non-dropping-particle" : "", "parse-names" : false, "suffix" : "" }, { "dropping-particle" : "", "family" : "Omar", "given" : "Abdirahman M.", "non-dropping-particle" : "", "parse-names" : false, "suffix" : "" }, { "dropping-particle" : "", "family" : "Ono", "given" : "Tsuneo", "non-dropping-particle" : "", "parse-names" : false, "suffix" : "" }, { "dropping-particle" : "", "family" : "Paterson", "given" : "Kristina", "non-dropping-particle" : "", "parse-names" : false, "suffix" : "" }, { "dropping-particle" : "", "family" : "Pearce", "given" : "David", "non-dropping-particle" : "", "parse-names" : false, "suffix" : "" }, { "dropping-particle" : "", "family" : "Pierrot", "given" : "Denis", "non-dropping-particle" : "", "parse-names" : false, "suffix" : "" }, { "dropping-particle" : "", "family" : "Robbins", "given" : "Lisa L.", "non-dropping-particle" : "", "parse-names" : false, "suffix" : "" }, { "dropping-particle" : "", "family" : "Saito", "given" : "Shu", "non-dropping-particle" : "", "parse-names" : false, "suffix" : "" }, { "dropping-particle" : "", "family" : "Salisbury", "given" : "Joe", "non-dropping-particle" : "", "parse-names" : false, "suffix" : "" }, { "dropping-particle" : "", "family" : "Schlitzer", "given" : "Reiner", "non-dropping-particle" : "", "parse-names" : false, "suffix" : "" }, { "dropping-particle" : "", "family" : "Schneider", "given" : "Bernd", "non-dropping-particle" : "", "parse-names" : false, "suffix" : "" }, { "dropping-particle" : "", "family" : "Schweitzer", "given" : "Roland", "non-dropping-particle" : "", "parse-names" : false, "suffix" : "" }, { "dropping-particle" : "", "family" : "Sieger", "given" : "Rainer", "non-dropping-particle" : "", "parse-names" : false, "suffix" : "" }, { "dropping-particle" : "", "family" : "Skjelvan", "given" : "Ingunn", "non-dropping-particle" : "", "parse-names" : false, "suffix" : "" }, { "dropping-particle" : "", "family" : "Sullivan", "given" : "Kevin F.", "non-dropping-particle" : "", "parse-names" : false, "suffix" : "" }, { "dropping-particle" : "", "family" : "Sutherland", "given" : "Stewart C.", "non-dropping-particle" : "", "parse-names" : false, "suffix" : "" }, { "dropping-particle" : "", "family" : "Sutton", "given" : "Adrienne J.", "non-dropping-particle" : "", "parse-names" : false, "suffix" : "" }, { "dropping-particle" : "", "family" : "Tadokoro", "given" : "Kazuaki", "non-dropping-particle" : "", "parse-names" : false, "suffix" : "" }, { "dropping-particle" : "", "family" : "Telszewski", "given" : "Maciej", "non-dropping-particle" : "", "parse-names" : false, "suffix" : "" }, { "dropping-particle" : "", "family" : "Tuma", "given" : "Matthias", "non-dropping-particle" : "", "parse-names" : false, "suffix" : "" }, { "dropping-particle" : "", "family" : "Heuven", "given" : "Steven M. A. C.", "non-dropping-particle" : "van", "parse-names" : false, "suffix" : "" }, { "dropping-particle" : "", "family" : "Vandemark", "given" : "Doug", "non-dropping-particle" : "", "parse-names" : false, "suffix" : "" }, { "dropping-particle" : "", "family" : "Ward", "given" : "Brian", "non-dropping-particle" : "", "parse-names" : false, "suffix" : "" }, { "dropping-particle" : "", "family" : "Watson", "given" : "Andrew J.", "non-dropping-particle" : "", "parse-names" : false, "suffix" : "" }, { "dropping-particle" : "", "family" : "Xu", "given" : "Suqing", "non-dropping-particle" : "", "parse-names" : false, "suffix" : "" } ], "container-title" : "Earth System Science Data", "id" : "ITEM-1", "issue" : "2", "issued" : { "date-parts" : [ [ "2016", "9", "15" ] ] }, "page" : "383-413", "title" : "A multi-decade record of high-quality &lt;i&gt;f&lt;/i&gt;CO&lt;sub&gt;2&lt;/sub&gt; data in version 3 of the Surface Ocean CO&lt;sub&gt;2&lt;/sub&gt; Atlas (SOCAT)", "type" : "article-journal", "volume" : "8" }, "uris" : [ "http://www.mendeley.com/documents/?uuid=f254cbcf-d801-4843-8237-5c1624d22507" ] }, { "id" : "ITEM-2", "itemData" : { "DOI" : "10.5194/essd-5-125-2013", "ISBN" : "1866-3591", "ISSN" : "18663508", "abstract" : "A well-documented, publicly available, global data set of surface ocean carbon dioxide (CO2) parameters has been called for by international groups for nearly two decades. The Surface Ocean CO2 Atlas (SOCAT) project was initiated by the international marine carbon science community in 2007 with the aim of providing a comprehensive, publicly available, regularly updated, global data set of marine surface CO2, which had been subject to quality control (QC). Many additional CO2 data, not yet made public via the Carbon Dioxide Information Analysis Center (CDIAC), were retrieved from data originators, public websites and other data centres. All data were put in a uniform format following a strict protocol. Quality control was carried out according to clearly defined criteria. Regional specialists performed the quality control, using state-of-the-art web-based tools, specially developed for accomplishing this global team effort. SOCAT version 1.5 was made public in September 2011 and holds 6.3 million quality controlled surface CO2 data points from the global oceans and coastal seas, spanning four decades (1968\u20132007). Three types of data products are available: individual cruise files, a merged complete data set and gridded products. With the rapid expansion of marine CO2 data collection and the importance of quantifying net global oceanic CO2 uptake and its changes, sustained data synthesis and data access are priorities", "author" : [ { "dropping-particle" : "", "family" : "Pfeil", "given" : "B.", "non-dropping-particle" : "", "parse-names" : false, "suffix" : "" }, { "dropping-particle" : "", "family" : "Olsen", "given" : "A.", "non-dropping-particle" : "", "parse-names" : false, "suffix" : "" }, { "dropping-particle" : "", "family" : "Bakker", "given" : "D. C. E.", "non-dropping-particle" : "", "parse-names" : false, "suffix" : "" }, { "dropping-particle" : "", "family" : "Hankin", "given" : "S.", "non-dropping-particle" : "", "parse-names" : false, "suffix" : "" }, { "dropping-particle" : "", "family" : "Koyuk", "given" : "H.", "non-dropping-particle" : "", "parse-names" : false, "suffix" : "" }, { "dropping-particle" : "", "family" : "Kozyr", "given" : "A.", "non-dropping-particle" : "", "parse-names" : false, "suffix" : "" }, { "dropping-particle" : "", "family" : "Malczyk", "given" : "J.", "non-dropping-particle" : "", "parse-names" : false, "suffix" : "" }, { "dropping-particle" : "", "family" : "Manke", "given" : "A.", "non-dropping-particle" : "", "parse-names" : false, "suffix" : "" }, { "dropping-particle" : "", "family" : "Metzl", "given" : "N.", "non-dropping-particle" : "", "parse-names" : false, "suffix" : "" }, { "dropping-particle" : "", "family" : "Sabine", "given" : "C. L.", "non-dropping-particle" : "", "parse-names" : false, "suffix" : "" }, { "dropping-particle" : "", "family" : "Akl", "given" : "J.", "non-dropping-particle" : "", "parse-names" : false, "suffix" : "" }, { "dropping-particle" : "", "family" : "Alin", "given" : "S.R.", "non-dropping-particle" : "", "parse-names" : false, "suffix" : "" }, { "dropping-particle" : "", "family" : "Bates", "given" : "N.R.", "non-dropping-particle" : "", "parse-names" : false, "suffix" : "" }, { "dropping-particle" : "", "family" : "Bellerby", "given" : "R. G J", "non-dropping-particle" : "", "parse-names" : false, "suffix" : "" }, { "dropping-particle" : "V", "family" : "Borges", "given" : "A", "non-dropping-particle" : "", "parse-names" : false, "suffix" : "" }, { "dropping-particle" : "", "family" : "Boutin", "given" : "J.", "non-dropping-particle" : "", "parse-names" : false, "suffix" : "" }, { "dropping-particle" : "", "family" : "Brown", "given" : "P. J.", "non-dropping-particle" : "", "parse-names" : false, "suffix" : "" }, { "dropping-particle" : "", "family" : "Cai", "given" : "W.-J.", "non-dropping-particle" : "", "parse-names" : false, "suffix" : "" }, { "dropping-particle" : "", "family" : "Chavez", "given" : "F. P.", "non-dropping-particle" : "", "parse-names" : false, "suffix" : "" }, { "dropping-particle" : "", "family" : "Chen", "given" : "A.", "non-dropping-particle" : "", "parse-names" : false, "suffix" : "" }, { "dropping-particle" : "", "family" : "Cosca", "given" : "C. E.", "non-dropping-particle" : "", "parse-names" : false, "suffix" : "" }, { "dropping-particle" : "", "family" : "Fassbender", "given" : "A.J.", "non-dropping-particle" : "", "parse-names" : false, "suffix" : "" }, { "dropping-particle" : "", "family" : "Feely", "given" : "R.A.", "non-dropping-particle" : "", "parse-names" : false, "suffix" : "" }, { "dropping-particle" : "", "family" : "Gonz\u00e1lez-D\u00e1vila", "given" : "M.", "non-dropping-particle" : "", "parse-names" : false, "suffix" : "" }, { "dropping-particle" : "", "family" : "Goyet", "given" : "C.", "non-dropping-particle" : "", "parse-names" : false, "suffix" : "" }, { "dropping-particle" : "", "family" : "Hales", "given" : "B.", "non-dropping-particle" : "", "parse-names" : false, "suffix" : "" }, { "dropping-particle" : "", "family" : "Hardman-Mountford", "given" : "N.", "non-dropping-particle" : "", "parse-names" : false, "suffix" : "" }, { "dropping-particle" : "", "family" : "Heinze", "given" : "C.", "non-dropping-particle" : "", "parse-names" : false, "suffix" : "" }, { "dropping-particle" : "", "family" : "Hood", "given" : "M.", "non-dropping-particle" : "", "parse-names" : false, "suffix" : "" }, { "dropping-particle" : "", "family" : "Hoppema", "given" : "M.", "non-dropping-particle" : "", "parse-names" : false, "suffix" : "" }, { "dropping-particle" : "", "family" : "Hunt", "given" : "C. W.", "non-dropping-particle" : "", "parse-names" : false, "suffix" : "" }, { "dropping-particle" : "", "family" : "Hydes", "given" : "D.", "non-dropping-particle" : "", "parse-names" : false, "suffix" : "" }, { "dropping-particle" : "", "family" : "Ishii", "given" : "M.", "non-dropping-particle" : "", "parse-names" : false, "suffix" : "" }, { "dropping-particle" : "", "family" : "Johannessen", "given" : "T.", "non-dropping-particle" : "", "parse-names" : false, "suffix" : "" }, { "dropping-particle" : "", "family" : "Jones", "given" : "S. D.", "non-dropping-particle" : "", "parse-names" : false, "suffix" : "" }, { "dropping-particle" : "", "family" : "Key", "given" : "R. M.", "non-dropping-particle" : "", "parse-names" : false, "suffix" : "" }, { "dropping-particle" : "", "family" : "K\u00f6rtzinger", "given" : "A.", "non-dropping-particle" : "", "parse-names" : false, "suffix" : "" }, { "dropping-particle" : "", "family" : "Landsch\u00fctzer", "given" : "P.", "non-dropping-particle" : "", "parse-names" : false, "suffix" : "" }, { "dropping-particle" : "", "family" : "Lauvset", "given" : "S. K.", "non-dropping-particle" : "", "parse-names" : false, "suffix" : "" }, { "dropping-particle" : "", "family" : "Lef\u00e8vre", "given" : "N.", "non-dropping-particle" : "", "parse-names" : false, "suffix" : "" }, { "dropping-particle" : "", "family" : "Lenton", "given" : "A.", "non-dropping-particle" : "", "parse-names" : false, "suffix" : "" }, { "dropping-particle" : "", "family" : "Lourantou", "given" : "A.", "non-dropping-particle" : "", "parse-names" : false, "suffix" : "" }, { "dropping-particle" : "", "family" : "Merlivat", "given" : "L.", "non-dropping-particle" : "", "parse-names" : false, "suffix" : "" }, { "dropping-particle" : "", "family" : "Midorikawa", "given" : "T.", "non-dropping-particle" : "", "parse-names" : false, "suffix" : "" }, { "dropping-particle" : "", "family" : "Mintrop", "given" : "L.", "non-dropping-particle" : "", "parse-names" : false, "suffix" : "" }, { "dropping-particle" : "", "family" : "Miyazaki", "given" : "C.", "non-dropping-particle" : "", "parse-names" : false, "suffix" : "" }, { "dropping-particle" : "", "family" : "Murata", "given" : "A.", "non-dropping-particle" : "", "parse-names" : false, "suffix" : "" }, { "dropping-particle" : "", "family" : "Nakadate", "given" : "A.", "non-dropping-particle" : "", "parse-names" : false, "suffix" : "" }, { "dropping-particle" : "", "family" : "Nakano", "given" : "Y.", "non-dropping-particle" : "", "parse-names" : false, "suffix" : "" }, { "dropping-particle" : "", "family" : "Nakaoka", "given" : "S.", "non-dropping-particle" : "", "parse-names" : false, "suffix" : "" }, { "dropping-particle" : "", "family" : "Nojiri", "given" : "Y.", "non-dropping-particle" : "", "parse-names" : false, "suffix" : "" }, { "dropping-particle" : "", "family" : "Omar", "given" : "a. M.", "non-dropping-particle" : "", "parse-names" : false, "suffix" : "" }, { "dropping-particle" : "", "family" : "Padin", "given" : "X. a.", "non-dropping-particle" : "", "parse-names" : false, "suffix" : "" }, { "dropping-particle" : "", "family" : "Park", "given" : "G. H.", "non-dropping-particle" : "", "parse-names" : false, "suffix" : "" }, { "dropping-particle" : "", "family" : "Paterson", "given" : "K.", "non-dropping-particle" : "", "parse-names" : false, "suffix" : "" }, { "dropping-particle" : "", "family" : "Perez", "given" : "F. F.", "non-dropping-particle" : "", "parse-names" : false, "suffix" : "" }, { "dropping-particle" : "", "family" : "Pierrot", "given" : "D.", "non-dropping-particle" : "", "parse-names" : false, "suffix" : "" }, { "dropping-particle" : "", "family" : "Poisson", "given" : "A.", "non-dropping-particle" : "", "parse-names" : false, "suffix" : "" }, { "dropping-particle" : "", "family" : "R\u00edos", "given" : "a. F.", "non-dropping-particle" : "", "parse-names" : false, "suffix" : "" }, { "dropping-particle" : "", "family" : "Santana-Casiano", "given" : "J. M.", "non-dropping-particle" : "", "parse-names" : false, "suffix" : "" }, { "dropping-particle" : "", "family" : "Salisbury", "given" : "J E", "non-dropping-particle" : "", "parse-names" : false, "suffix" : "" }, { "dropping-particle" : "", "family" : "Sarma", "given" : "V. V S S", "non-dropping-particle" : "", "parse-names" : false, "suffix" : "" }, { "dropping-particle" : "", "family" : "Schlitzer", "given" : "R.", "non-dropping-particle" : "", "parse-names" : false, "suffix" : "" }, { "dropping-particle" : "", "family" : "Schneider", "given" : "B.", "non-dropping-particle" : "", "parse-names" : false, "suffix" : "" }, { "dropping-particle" : "", "family" : "Schuster", "given" : "U.", "non-dropping-particle" : "", "parse-names" : false, "suffix" : "" }, { "dropping-particle" : "", "family" : "Sieger", "given" : "R.", "non-dropping-particle" : "", "parse-names" : false, "suffix" : "" }, { "dropping-particle" : "", "family" : "Skjelvan", "given" : "I.", "non-dropping-particle" : "", "parse-names" : false, "suffix" : "" }, { "dropping-particle" : "", "family" : "Steinhoff", "given" : "T.", "non-dropping-particle" : "", "parse-names" : false, "suffix" : "" }, { "dropping-particle" : "", "family" : "Suzuki", "given" : "T.", "non-dropping-particle" : "", "parse-names" : false, "suffix" : "" }, { "dropping-particle" : "", "family" : "Takahashi", "given" : "T.", "non-dropping-particle" : "", "parse-names" : false, "suffix" : "" }, { "dropping-particle" : "", "family" : "Tedesco", "given" : "K.", "non-dropping-particle" : "", "parse-names" : false, "suffix" : "" }, { "dropping-particle" : "", "family" : "Telszewski", "given" : "M.", "non-dropping-particle" : "", "parse-names" : false, "suffix" : "" }, { "dropping-particle" : "", "family" : "Thomas", "given" : "H.", "non-dropping-particle" : "", "parse-names" : false, "suffix" : "" }, { "dropping-particle" : "", "family" : "Tilbrook", "given" : "B.", "non-dropping-particle" : "", "parse-names" : false, "suffix" : "" }, { "dropping-particle" : "", "family" : "Tjiputra", "given" : "J.", "non-dropping-particle" : "", "parse-names" : false, "suffix" : "" }, { "dropping-particle" : "", "family" : "Vandemark", "given" : "D.", "non-dropping-particle" : "", "parse-names" : false, "suffix" : "" }, { "dropping-particle" : "", "family" : "Veness", "given" : "T.", "non-dropping-particle" : "", "parse-names" : false, "suffix" : "" }, { "dropping-particle" : "", "family" : "Wanninkhof", "given" : "R.", "non-dropping-particle" : "", "parse-names" : false, "suffix" : "" }, { "dropping-particle" : "", "family" : "Watson", "given" : "A.J.", "non-dropping-particle" : "", "parse-names" : false, "suffix" : "" }, { "dropping-particle" : "", "family" : "Weiss", "given" : "R.", "non-dropping-particle" : "", "parse-names" : false, "suffix" : "" }, { "dropping-particle" : "", "family" : "Wong", "given" : "C. S.", "non-dropping-particle" : "", "parse-names" : false, "suffix" : "" }, { "dropping-particle" : "", "family" : "Yoshikawa-Inoue", "given" : "H.", "non-dropping-particle" : "", "parse-names" : false, "suffix" : "" } ], "container-title" : "Earth System Science Data", "id" : "ITEM-2", "issue" : "1", "issued" : { "date-parts" : [ [ "2013" ] ] }, "page" : "125-143", "title" : "A uniform, quality controlled Surface Ocean CO&lt;sub&gt;2&lt;/sub&gt; Atlas (SOCAT)", "type" : "article-journal", "volume" : "5" }, "uris" : [ "http://www.mendeley.com/documents/?uuid=828363c2-7e02-4e17-b82e-5b4f29180a20" ] } ], "mendeley" : { "formattedCitation" : "[&lt;i&gt;Pfeil et al.&lt;/i&gt;, 2013; &lt;i&gt;Bakker et al.&lt;/i&gt;, 2016]", "plainTextFormattedCitation" : "[Pfeil et al., 2013; Bakker et al., 2016]", "previouslyFormattedCitation" : "[&lt;i&gt;Pfeil et al.&lt;/i&gt;, 2013; &lt;i&gt;Bakker et al.&lt;/i&gt;, 2016]" }, "properties" : { "noteIndex" : 0 }, "schema" : "https://github.com/citation-style-language/schema/raw/master/csl-citation.json" }</w:instrText>
      </w:r>
      <w:r w:rsidR="00BB0BB4">
        <w:fldChar w:fldCharType="separate"/>
      </w:r>
      <w:r w:rsidR="00544B45" w:rsidRPr="00544B45">
        <w:rPr>
          <w:noProof/>
        </w:rPr>
        <w:t>[</w:t>
      </w:r>
      <w:r w:rsidR="00544B45" w:rsidRPr="00544B45">
        <w:rPr>
          <w:i/>
          <w:noProof/>
        </w:rPr>
        <w:t>Pfeil et al.</w:t>
      </w:r>
      <w:r w:rsidR="00544B45" w:rsidRPr="00544B45">
        <w:rPr>
          <w:noProof/>
        </w:rPr>
        <w:t xml:space="preserve">, 2013; </w:t>
      </w:r>
      <w:r w:rsidR="00544B45" w:rsidRPr="00544B45">
        <w:rPr>
          <w:i/>
          <w:noProof/>
        </w:rPr>
        <w:t>Bakker et al.</w:t>
      </w:r>
      <w:r w:rsidR="00544B45" w:rsidRPr="00544B45">
        <w:rPr>
          <w:noProof/>
        </w:rPr>
        <w:t>, 2016]</w:t>
      </w:r>
      <w:r w:rsidR="00BB0BB4">
        <w:fldChar w:fldCharType="end"/>
      </w:r>
      <w:r>
        <w:t xml:space="preserve">. To ensure that the SOCAT-V4 sea surface salinity (SSS) and temperature (SST) data are in accord with historical observations, we compare the </w:t>
      </w:r>
      <w:r w:rsidR="008B3A1F">
        <w:t xml:space="preserve">gridded </w:t>
      </w:r>
      <w:r>
        <w:t>SOCAT</w:t>
      </w:r>
      <w:r w:rsidR="008B3A1F">
        <w:t xml:space="preserve">-V4 </w:t>
      </w:r>
      <w:r w:rsidR="00017277">
        <w:t xml:space="preserve">climatologies with </w:t>
      </w:r>
      <w:r w:rsidR="008B3A1F" w:rsidRPr="00B10F95">
        <w:t>1°×1°</w:t>
      </w:r>
      <w:r w:rsidR="008B3A1F">
        <w:t xml:space="preserve"> </w:t>
      </w:r>
      <w:r>
        <w:t xml:space="preserve">World Ocean Atlas 2013 </w:t>
      </w:r>
      <w:r w:rsidR="00017277">
        <w:t xml:space="preserve">data </w:t>
      </w:r>
      <w:r>
        <w:t>(</w:t>
      </w:r>
      <w:hyperlink r:id="rId9" w:history="1">
        <w:r w:rsidRPr="00E67BF4">
          <w:rPr>
            <w:rStyle w:val="Hyperlink"/>
          </w:rPr>
          <w:t>https://www.nodc.noaa.gov/OC5/woa13.html</w:t>
        </w:r>
      </w:hyperlink>
      <w:r>
        <w:t xml:space="preserve">) for </w:t>
      </w:r>
      <w:r w:rsidR="00F35804">
        <w:t xml:space="preserve">the </w:t>
      </w:r>
      <w:r>
        <w:t xml:space="preserve">January </w:t>
      </w:r>
      <w:r w:rsidR="001A09A5">
        <w:t>to March and July to September</w:t>
      </w:r>
      <w:r w:rsidR="003B0218">
        <w:t xml:space="preserve"> seasonal periods</w:t>
      </w:r>
      <w:r>
        <w:t xml:space="preserve">. </w:t>
      </w:r>
      <w:r w:rsidR="001A09A5">
        <w:t xml:space="preserve">The difference plots shown in </w:t>
      </w:r>
      <w:r w:rsidR="001A09A5" w:rsidRPr="001A00C5">
        <w:rPr>
          <w:b/>
        </w:rPr>
        <w:t>Figure S3</w:t>
      </w:r>
      <w:r w:rsidR="001A09A5">
        <w:t xml:space="preserve"> suggest</w:t>
      </w:r>
      <w:r>
        <w:t xml:space="preserve"> general agreement between the two synthesis products</w:t>
      </w:r>
      <w:r w:rsidR="003B0218">
        <w:t xml:space="preserve"> and</w:t>
      </w:r>
      <w:r w:rsidR="001A00C5">
        <w:t xml:space="preserve"> the</w:t>
      </w:r>
      <w:r>
        <w:t xml:space="preserve"> lack o</w:t>
      </w:r>
      <w:r w:rsidR="001A09A5">
        <w:t>f a</w:t>
      </w:r>
      <w:r>
        <w:t xml:space="preserve"> strong </w:t>
      </w:r>
      <w:r w:rsidR="001A09A5">
        <w:t xml:space="preserve">or </w:t>
      </w:r>
      <w:r>
        <w:t>coherent pattern</w:t>
      </w:r>
      <w:r w:rsidR="001A00C5">
        <w:t xml:space="preserve"> </w:t>
      </w:r>
      <w:r w:rsidR="001A09A5">
        <w:t>indicates</w:t>
      </w:r>
      <w:r>
        <w:t xml:space="preserve"> </w:t>
      </w:r>
      <w:r w:rsidR="001A09A5">
        <w:t xml:space="preserve">that </w:t>
      </w:r>
      <w:r w:rsidR="009D44C0">
        <w:t xml:space="preserve">any </w:t>
      </w:r>
      <w:r>
        <w:t xml:space="preserve">biases are randomly distributed. </w:t>
      </w:r>
      <w:r w:rsidR="004245B2">
        <w:t xml:space="preserve">Thus, </w:t>
      </w:r>
      <w:r w:rsidR="001A00C5">
        <w:t xml:space="preserve">it is unlikely that </w:t>
      </w:r>
      <w:r w:rsidR="004245B2">
        <w:t>the SOCAT-V4 SSS and SST data impose a large pattern of bias on the estimated TA values</w:t>
      </w:r>
      <w:r w:rsidR="009D44C0">
        <w:t>, which are</w:t>
      </w:r>
      <w:r w:rsidR="00DC3BA6">
        <w:t xml:space="preserve"> used to calculate other parameters of interest</w:t>
      </w:r>
      <w:r w:rsidR="00755DBA">
        <w:t xml:space="preserve"> in the analysis</w:t>
      </w:r>
      <w:r w:rsidR="004245B2">
        <w:t>.</w:t>
      </w:r>
      <w:r w:rsidR="00DC3BA6">
        <w:t xml:space="preserve"> </w:t>
      </w:r>
      <w:r w:rsidR="002D10F4">
        <w:t>Additionall</w:t>
      </w:r>
      <w:r w:rsidR="000E3290">
        <w:t xml:space="preserve">y, </w:t>
      </w:r>
      <w:r w:rsidR="00EB479E">
        <w:t>excellent</w:t>
      </w:r>
      <w:r w:rsidR="001D7E08">
        <w:t xml:space="preserve"> </w:t>
      </w:r>
      <w:r w:rsidR="000E3290">
        <w:t xml:space="preserve">agreement </w:t>
      </w:r>
      <w:r w:rsidR="001D7E08">
        <w:t xml:space="preserve">between climatologies from </w:t>
      </w:r>
      <w:r w:rsidR="00AB602E">
        <w:t xml:space="preserve">corresponding </w:t>
      </w:r>
      <w:r w:rsidR="00250705">
        <w:t>t</w:t>
      </w:r>
      <w:r w:rsidR="000E3290">
        <w:t>ime</w:t>
      </w:r>
      <w:r w:rsidR="000B056B">
        <w:t xml:space="preserve"> </w:t>
      </w:r>
      <w:r w:rsidR="00250705">
        <w:t xml:space="preserve">series </w:t>
      </w:r>
      <w:r w:rsidR="000E3290">
        <w:t>locations and SOCAT-V4</w:t>
      </w:r>
      <w:r w:rsidR="00AB602E">
        <w:t xml:space="preserve"> grids </w:t>
      </w:r>
      <w:r w:rsidR="000E3290">
        <w:t>(</w:t>
      </w:r>
      <w:r w:rsidR="000E3290" w:rsidRPr="000E3290">
        <w:rPr>
          <w:b/>
        </w:rPr>
        <w:t>Figure</w:t>
      </w:r>
      <w:r w:rsidR="00EB479E">
        <w:rPr>
          <w:b/>
        </w:rPr>
        <w:t>s</w:t>
      </w:r>
      <w:r w:rsidR="000E3290" w:rsidRPr="000E3290">
        <w:rPr>
          <w:b/>
        </w:rPr>
        <w:t xml:space="preserve"> </w:t>
      </w:r>
      <w:r w:rsidR="000E3290">
        <w:rPr>
          <w:b/>
        </w:rPr>
        <w:t>2</w:t>
      </w:r>
      <w:r w:rsidR="00EB479E">
        <w:rPr>
          <w:b/>
        </w:rPr>
        <w:t>, 3</w:t>
      </w:r>
      <w:r w:rsidR="007C6BEE">
        <w:rPr>
          <w:b/>
        </w:rPr>
        <w:t xml:space="preserve">, </w:t>
      </w:r>
      <w:r w:rsidR="007C6BEE" w:rsidRPr="007C6BEE">
        <w:t xml:space="preserve">and </w:t>
      </w:r>
      <w:r w:rsidR="007C6BEE">
        <w:rPr>
          <w:b/>
        </w:rPr>
        <w:t>S1</w:t>
      </w:r>
      <w:r w:rsidR="000E3290">
        <w:rPr>
          <w:b/>
        </w:rPr>
        <w:t>; Table</w:t>
      </w:r>
      <w:r w:rsidR="00AB602E">
        <w:rPr>
          <w:b/>
        </w:rPr>
        <w:t>s</w:t>
      </w:r>
      <w:r w:rsidR="000E3290">
        <w:rPr>
          <w:b/>
        </w:rPr>
        <w:t xml:space="preserve"> S2</w:t>
      </w:r>
      <w:r w:rsidR="007C6BEE">
        <w:rPr>
          <w:b/>
        </w:rPr>
        <w:t xml:space="preserve"> </w:t>
      </w:r>
      <w:r w:rsidR="007C6BEE" w:rsidRPr="007C6BEE">
        <w:t>and</w:t>
      </w:r>
      <w:r w:rsidR="000E3290" w:rsidRPr="007C6BEE">
        <w:t xml:space="preserve"> </w:t>
      </w:r>
      <w:r w:rsidR="000E3290">
        <w:rPr>
          <w:b/>
        </w:rPr>
        <w:t>S3</w:t>
      </w:r>
      <w:r w:rsidR="000E3290">
        <w:t>) suggests that any errors incorporated in the estimation of TA do not si</w:t>
      </w:r>
      <w:r w:rsidR="00AB602E">
        <w:t>gnificantly influence the large-</w:t>
      </w:r>
      <w:r w:rsidR="000E3290">
        <w:t xml:space="preserve">scale patterns </w:t>
      </w:r>
      <w:r w:rsidR="009D396C">
        <w:t xml:space="preserve">of parameters </w:t>
      </w:r>
      <w:r w:rsidR="009D44C0">
        <w:t>interpreted</w:t>
      </w:r>
      <w:r w:rsidR="000E3290">
        <w:t xml:space="preserve"> in the manuscript. </w:t>
      </w:r>
    </w:p>
    <w:p w14:paraId="1CA07BD6" w14:textId="77777777" w:rsidR="002B6ECB" w:rsidRDefault="002B6ECB" w:rsidP="0016290D">
      <w:pPr>
        <w:spacing w:line="360" w:lineRule="auto"/>
        <w:contextualSpacing/>
        <w:jc w:val="both"/>
        <w:rPr>
          <w:b/>
        </w:rPr>
      </w:pPr>
    </w:p>
    <w:p w14:paraId="1A8CDF5C" w14:textId="14DEF0DC" w:rsidR="0026273B" w:rsidRDefault="00F0175F" w:rsidP="0016290D">
      <w:pPr>
        <w:spacing w:line="360" w:lineRule="auto"/>
        <w:contextualSpacing/>
        <w:jc w:val="both"/>
        <w:rPr>
          <w:b/>
        </w:rPr>
      </w:pPr>
      <w:r>
        <w:rPr>
          <w:b/>
        </w:rPr>
        <w:t>Text S2. Time</w:t>
      </w:r>
      <w:r w:rsidR="000B056B">
        <w:rPr>
          <w:b/>
        </w:rPr>
        <w:t xml:space="preserve"> </w:t>
      </w:r>
      <w:r>
        <w:rPr>
          <w:b/>
        </w:rPr>
        <w:t xml:space="preserve">Series </w:t>
      </w:r>
      <w:r w:rsidR="00250705">
        <w:rPr>
          <w:b/>
        </w:rPr>
        <w:t>Climatologies</w:t>
      </w:r>
    </w:p>
    <w:p w14:paraId="7EBFA382" w14:textId="4D104110" w:rsidR="004629D1" w:rsidRDefault="006D3243" w:rsidP="004629D1">
      <w:pPr>
        <w:pStyle w:val="CommentText"/>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M</w:t>
      </w:r>
      <w:r w:rsidRPr="00D84ACF">
        <w:rPr>
          <w:rFonts w:ascii="Times New Roman" w:hAnsi="Times New Roman" w:cs="Times New Roman"/>
          <w:sz w:val="24"/>
          <w:szCs w:val="24"/>
        </w:rPr>
        <w:t xml:space="preserve">onthly mean surface (&lt;20 m) data were compiled </w:t>
      </w:r>
      <w:r>
        <w:rPr>
          <w:rFonts w:ascii="Times New Roman" w:hAnsi="Times New Roman" w:cs="Times New Roman"/>
          <w:sz w:val="24"/>
          <w:szCs w:val="24"/>
        </w:rPr>
        <w:t xml:space="preserve">for all years </w:t>
      </w:r>
      <w:r w:rsidR="00147508">
        <w:rPr>
          <w:rFonts w:ascii="Times New Roman" w:hAnsi="Times New Roman" w:cs="Times New Roman"/>
          <w:sz w:val="24"/>
          <w:szCs w:val="24"/>
        </w:rPr>
        <w:t>with observations from</w:t>
      </w:r>
      <w:r>
        <w:rPr>
          <w:rFonts w:ascii="Times New Roman" w:hAnsi="Times New Roman" w:cs="Times New Roman"/>
          <w:sz w:val="24"/>
          <w:szCs w:val="24"/>
        </w:rPr>
        <w:t xml:space="preserve"> the </w:t>
      </w:r>
      <w:r w:rsidR="00D84ACF" w:rsidRPr="00D84ACF">
        <w:rPr>
          <w:rFonts w:ascii="Times New Roman" w:hAnsi="Times New Roman" w:cs="Times New Roman"/>
          <w:sz w:val="24"/>
          <w:szCs w:val="24"/>
        </w:rPr>
        <w:t>Bermuda Atlantic Time Series Study (BATS; 32°N, 64°W</w:t>
      </w:r>
      <w:r w:rsidR="00E64963">
        <w:rPr>
          <w:rFonts w:ascii="Times New Roman" w:hAnsi="Times New Roman" w:cs="Times New Roman"/>
          <w:sz w:val="24"/>
          <w:szCs w:val="24"/>
        </w:rPr>
        <w:t>; 1988-2014</w:t>
      </w:r>
      <w:r w:rsidR="00450742" w:rsidRPr="00D84ACF">
        <w:rPr>
          <w:rFonts w:ascii="Times New Roman" w:hAnsi="Times New Roman" w:cs="Times New Roman"/>
          <w:sz w:val="24"/>
          <w:szCs w:val="24"/>
        </w:rPr>
        <w:t>)</w:t>
      </w:r>
      <w:r w:rsidR="00450742">
        <w:rPr>
          <w:rFonts w:ascii="Times New Roman" w:hAnsi="Times New Roman" w:cs="Times New Roman"/>
          <w:sz w:val="24"/>
          <w:szCs w:val="24"/>
        </w:rPr>
        <w:t xml:space="preserve">, </w:t>
      </w:r>
      <w:r w:rsidR="00450742" w:rsidRPr="00D84ACF">
        <w:rPr>
          <w:rFonts w:ascii="Times New Roman" w:hAnsi="Times New Roman" w:cs="Times New Roman"/>
          <w:sz w:val="24"/>
          <w:szCs w:val="24"/>
        </w:rPr>
        <w:t>Hawaii</w:t>
      </w:r>
      <w:r w:rsidR="00D84ACF" w:rsidRPr="00D84ACF">
        <w:rPr>
          <w:rFonts w:ascii="Times New Roman" w:hAnsi="Times New Roman" w:cs="Times New Roman"/>
          <w:sz w:val="24"/>
          <w:szCs w:val="24"/>
        </w:rPr>
        <w:t xml:space="preserve"> Ocean Time Series (HOT; 22.75°N, 158°W</w:t>
      </w:r>
      <w:r w:rsidR="00E64963">
        <w:rPr>
          <w:rFonts w:ascii="Times New Roman" w:hAnsi="Times New Roman" w:cs="Times New Roman"/>
          <w:sz w:val="24"/>
          <w:szCs w:val="24"/>
        </w:rPr>
        <w:t>; 1988-2015</w:t>
      </w:r>
      <w:r w:rsidR="00D84ACF" w:rsidRPr="00D84ACF">
        <w:rPr>
          <w:rFonts w:ascii="Times New Roman" w:hAnsi="Times New Roman" w:cs="Times New Roman"/>
          <w:sz w:val="24"/>
          <w:szCs w:val="24"/>
        </w:rPr>
        <w:t>),</w:t>
      </w:r>
      <w:r w:rsidR="0016290D" w:rsidRPr="0016290D">
        <w:rPr>
          <w:rFonts w:ascii="Times New Roman" w:hAnsi="Times New Roman" w:cs="Times New Roman"/>
          <w:sz w:val="24"/>
          <w:szCs w:val="24"/>
        </w:rPr>
        <w:t xml:space="preserve"> Irminger Sea (64.3°N, 28°W</w:t>
      </w:r>
      <w:r w:rsidR="00E64963">
        <w:rPr>
          <w:rFonts w:ascii="Times New Roman" w:hAnsi="Times New Roman" w:cs="Times New Roman"/>
          <w:sz w:val="24"/>
          <w:szCs w:val="24"/>
        </w:rPr>
        <w:t>; 1983-2013</w:t>
      </w:r>
      <w:r w:rsidR="0016290D" w:rsidRPr="0016290D">
        <w:rPr>
          <w:rFonts w:ascii="Times New Roman" w:hAnsi="Times New Roman" w:cs="Times New Roman"/>
          <w:sz w:val="24"/>
          <w:szCs w:val="24"/>
        </w:rPr>
        <w:t>)</w:t>
      </w:r>
      <w:r w:rsidR="0016290D">
        <w:rPr>
          <w:rFonts w:ascii="Times New Roman" w:hAnsi="Times New Roman" w:cs="Times New Roman"/>
          <w:sz w:val="24"/>
          <w:szCs w:val="24"/>
        </w:rPr>
        <w:t>,</w:t>
      </w:r>
      <w:r w:rsidR="0016290D" w:rsidRPr="0016290D">
        <w:rPr>
          <w:rFonts w:ascii="Times New Roman" w:hAnsi="Times New Roman" w:cs="Times New Roman"/>
          <w:sz w:val="24"/>
          <w:szCs w:val="24"/>
        </w:rPr>
        <w:t xml:space="preserve"> and Iceland Sea </w:t>
      </w:r>
      <w:r w:rsidR="0016290D" w:rsidRPr="0016290D">
        <w:rPr>
          <w:rFonts w:ascii="Times New Roman" w:hAnsi="Times New Roman" w:cs="Times New Roman"/>
          <w:color w:val="000000" w:themeColor="text1"/>
          <w:sz w:val="24"/>
          <w:szCs w:val="24"/>
        </w:rPr>
        <w:t>(68°N, 12.66°W</w:t>
      </w:r>
      <w:r w:rsidR="00E64963">
        <w:rPr>
          <w:rFonts w:ascii="Times New Roman" w:hAnsi="Times New Roman" w:cs="Times New Roman"/>
          <w:color w:val="000000" w:themeColor="text1"/>
          <w:sz w:val="24"/>
          <w:szCs w:val="24"/>
        </w:rPr>
        <w:t>; 1985-2013</w:t>
      </w:r>
      <w:r w:rsidR="0016290D" w:rsidRPr="0016290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w:t>
      </w:r>
      <w:r w:rsidR="00E64963">
        <w:rPr>
          <w:rFonts w:ascii="Times New Roman" w:hAnsi="Times New Roman" w:cs="Times New Roman"/>
          <w:color w:val="000000" w:themeColor="text1"/>
          <w:sz w:val="24"/>
          <w:szCs w:val="24"/>
        </w:rPr>
        <w:t>it</w:t>
      </w:r>
      <w:r>
        <w:rPr>
          <w:rFonts w:ascii="Times New Roman" w:hAnsi="Times New Roman" w:cs="Times New Roman"/>
          <w:color w:val="000000" w:themeColor="text1"/>
          <w:sz w:val="24"/>
          <w:szCs w:val="24"/>
        </w:rPr>
        <w:t>es</w:t>
      </w:r>
      <w:r w:rsidR="0016290D">
        <w:rPr>
          <w:rFonts w:ascii="Times New Roman" w:hAnsi="Times New Roman" w:cs="Times New Roman"/>
          <w:sz w:val="24"/>
          <w:szCs w:val="24"/>
        </w:rPr>
        <w:t xml:space="preserve">. </w:t>
      </w:r>
      <w:r w:rsidR="004D507D">
        <w:rPr>
          <w:rFonts w:ascii="Times New Roman" w:hAnsi="Times New Roman" w:cs="Times New Roman"/>
          <w:sz w:val="24"/>
          <w:szCs w:val="24"/>
        </w:rPr>
        <w:t>M</w:t>
      </w:r>
      <w:r w:rsidR="0016290D">
        <w:rPr>
          <w:rFonts w:ascii="Times New Roman" w:hAnsi="Times New Roman" w:cs="Times New Roman"/>
          <w:sz w:val="24"/>
          <w:szCs w:val="24"/>
        </w:rPr>
        <w:t xml:space="preserve">easurements of </w:t>
      </w:r>
      <w:r w:rsidR="0084260D">
        <w:rPr>
          <w:rFonts w:ascii="Times New Roman" w:hAnsi="Times New Roman" w:cs="Times New Roman"/>
          <w:sz w:val="24"/>
          <w:szCs w:val="24"/>
        </w:rPr>
        <w:t>DIC</w:t>
      </w:r>
      <w:r w:rsidR="0016290D">
        <w:rPr>
          <w:rFonts w:ascii="Times New Roman" w:hAnsi="Times New Roman" w:cs="Times New Roman"/>
          <w:sz w:val="24"/>
          <w:szCs w:val="24"/>
        </w:rPr>
        <w:t xml:space="preserve"> and </w:t>
      </w:r>
      <w:r w:rsidR="0084260D" w:rsidRPr="0084260D">
        <w:rPr>
          <w:rFonts w:ascii="Times New Roman" w:hAnsi="Times New Roman" w:cs="Times New Roman"/>
          <w:sz w:val="24"/>
          <w:szCs w:val="24"/>
        </w:rPr>
        <w:t>TA</w:t>
      </w:r>
      <w:r w:rsidR="0016290D">
        <w:rPr>
          <w:rFonts w:ascii="Times New Roman" w:hAnsi="Times New Roman" w:cs="Times New Roman"/>
          <w:sz w:val="24"/>
          <w:szCs w:val="24"/>
        </w:rPr>
        <w:t xml:space="preserve"> were used</w:t>
      </w:r>
      <w:r w:rsidR="004D507D" w:rsidRPr="004D507D">
        <w:rPr>
          <w:rFonts w:ascii="Times New Roman" w:hAnsi="Times New Roman" w:cs="Times New Roman"/>
          <w:sz w:val="24"/>
          <w:szCs w:val="24"/>
        </w:rPr>
        <w:t xml:space="preserve"> </w:t>
      </w:r>
      <w:r w:rsidR="004D507D">
        <w:rPr>
          <w:rFonts w:ascii="Times New Roman" w:hAnsi="Times New Roman" w:cs="Times New Roman"/>
          <w:sz w:val="24"/>
          <w:szCs w:val="24"/>
        </w:rPr>
        <w:t xml:space="preserve">at the BATS and HOT sites, and </w:t>
      </w:r>
      <w:r w:rsidR="004D507D" w:rsidRPr="0016290D">
        <w:rPr>
          <w:rFonts w:ascii="Times New Roman" w:hAnsi="Times New Roman" w:cs="Times New Roman"/>
          <w:i/>
          <w:sz w:val="24"/>
          <w:szCs w:val="24"/>
        </w:rPr>
        <w:t>p</w:t>
      </w:r>
      <w:r w:rsidR="004D507D">
        <w:rPr>
          <w:rFonts w:ascii="Times New Roman" w:hAnsi="Times New Roman" w:cs="Times New Roman"/>
          <w:sz w:val="24"/>
          <w:szCs w:val="24"/>
        </w:rPr>
        <w:t>CO</w:t>
      </w:r>
      <w:r w:rsidR="004D507D" w:rsidRPr="0016290D">
        <w:rPr>
          <w:rFonts w:ascii="Times New Roman" w:hAnsi="Times New Roman" w:cs="Times New Roman"/>
          <w:sz w:val="24"/>
          <w:szCs w:val="24"/>
          <w:vertAlign w:val="subscript"/>
        </w:rPr>
        <w:t>2</w:t>
      </w:r>
      <w:r w:rsidR="004D507D">
        <w:rPr>
          <w:rFonts w:ascii="Times New Roman" w:hAnsi="Times New Roman" w:cs="Times New Roman"/>
          <w:sz w:val="24"/>
          <w:szCs w:val="24"/>
        </w:rPr>
        <w:t xml:space="preserve"> and DIC were used at</w:t>
      </w:r>
      <w:r w:rsidR="00D26C80">
        <w:rPr>
          <w:rFonts w:ascii="Times New Roman" w:hAnsi="Times New Roman" w:cs="Times New Roman"/>
          <w:sz w:val="24"/>
          <w:szCs w:val="24"/>
        </w:rPr>
        <w:t xml:space="preserve"> the </w:t>
      </w:r>
      <w:r w:rsidR="0016290D">
        <w:rPr>
          <w:rFonts w:ascii="Times New Roman" w:hAnsi="Times New Roman" w:cs="Times New Roman"/>
          <w:sz w:val="24"/>
          <w:szCs w:val="24"/>
        </w:rPr>
        <w:t xml:space="preserve">Iceland </w:t>
      </w:r>
      <w:r w:rsidR="004629D1">
        <w:rPr>
          <w:rFonts w:ascii="Times New Roman" w:hAnsi="Times New Roman" w:cs="Times New Roman"/>
          <w:sz w:val="24"/>
          <w:szCs w:val="24"/>
        </w:rPr>
        <w:t xml:space="preserve">Sea </w:t>
      </w:r>
      <w:r w:rsidR="0016290D">
        <w:rPr>
          <w:rFonts w:ascii="Times New Roman" w:hAnsi="Times New Roman" w:cs="Times New Roman"/>
          <w:sz w:val="24"/>
          <w:szCs w:val="24"/>
        </w:rPr>
        <w:t xml:space="preserve">and Irminger Sea sites to calculate other carbonate system parameters of interest. </w:t>
      </w:r>
      <w:r w:rsidR="00EA6C25">
        <w:rPr>
          <w:rFonts w:ascii="Times New Roman" w:hAnsi="Times New Roman" w:cs="Times New Roman"/>
          <w:sz w:val="24"/>
          <w:szCs w:val="24"/>
        </w:rPr>
        <w:t>The o</w:t>
      </w:r>
      <w:r w:rsidR="001C7163">
        <w:rPr>
          <w:rFonts w:ascii="Times New Roman" w:hAnsi="Times New Roman" w:cs="Times New Roman"/>
          <w:sz w:val="24"/>
          <w:szCs w:val="24"/>
        </w:rPr>
        <w:t>bservations</w:t>
      </w:r>
      <w:r w:rsidR="001C7163" w:rsidRPr="0084260D">
        <w:rPr>
          <w:rFonts w:ascii="Times New Roman" w:hAnsi="Times New Roman" w:cs="Times New Roman"/>
          <w:sz w:val="24"/>
          <w:szCs w:val="24"/>
        </w:rPr>
        <w:t xml:space="preserve"> span &gt;</w:t>
      </w:r>
      <w:r w:rsidR="001C7163">
        <w:rPr>
          <w:rFonts w:ascii="Times New Roman" w:hAnsi="Times New Roman" w:cs="Times New Roman"/>
          <w:sz w:val="24"/>
          <w:szCs w:val="24"/>
        </w:rPr>
        <w:t xml:space="preserve"> </w:t>
      </w:r>
      <w:r w:rsidR="001C7163" w:rsidRPr="0084260D">
        <w:rPr>
          <w:rFonts w:ascii="Times New Roman" w:hAnsi="Times New Roman" w:cs="Times New Roman"/>
          <w:sz w:val="24"/>
          <w:szCs w:val="24"/>
        </w:rPr>
        <w:t>20 years</w:t>
      </w:r>
      <w:r w:rsidR="001C7163">
        <w:rPr>
          <w:rFonts w:ascii="Times New Roman" w:hAnsi="Times New Roman" w:cs="Times New Roman"/>
          <w:sz w:val="24"/>
          <w:szCs w:val="24"/>
        </w:rPr>
        <w:t xml:space="preserve"> a</w:t>
      </w:r>
      <w:r w:rsidR="00335DC3">
        <w:rPr>
          <w:rFonts w:ascii="Times New Roman" w:hAnsi="Times New Roman" w:cs="Times New Roman"/>
          <w:sz w:val="24"/>
          <w:szCs w:val="24"/>
        </w:rPr>
        <w:t xml:space="preserve">t </w:t>
      </w:r>
      <w:r w:rsidR="009C6F15">
        <w:rPr>
          <w:rFonts w:ascii="Times New Roman" w:hAnsi="Times New Roman" w:cs="Times New Roman"/>
          <w:sz w:val="24"/>
          <w:szCs w:val="24"/>
        </w:rPr>
        <w:t>each of these</w:t>
      </w:r>
      <w:r w:rsidR="004629D1">
        <w:rPr>
          <w:rFonts w:ascii="Times New Roman" w:hAnsi="Times New Roman" w:cs="Times New Roman"/>
          <w:sz w:val="24"/>
          <w:szCs w:val="24"/>
        </w:rPr>
        <w:t xml:space="preserve"> </w:t>
      </w:r>
      <w:r>
        <w:rPr>
          <w:rFonts w:ascii="Times New Roman" w:hAnsi="Times New Roman" w:cs="Times New Roman"/>
          <w:sz w:val="24"/>
          <w:szCs w:val="24"/>
        </w:rPr>
        <w:t>locations</w:t>
      </w:r>
      <w:r w:rsidR="00335DC3">
        <w:rPr>
          <w:rFonts w:ascii="Times New Roman" w:hAnsi="Times New Roman" w:cs="Times New Roman"/>
          <w:sz w:val="24"/>
          <w:szCs w:val="24"/>
        </w:rPr>
        <w:t>,</w:t>
      </w:r>
      <w:r w:rsidR="001C7163">
        <w:rPr>
          <w:rFonts w:ascii="Times New Roman" w:hAnsi="Times New Roman" w:cs="Times New Roman"/>
          <w:sz w:val="24"/>
          <w:szCs w:val="24"/>
        </w:rPr>
        <w:t xml:space="preserve"> so </w:t>
      </w:r>
      <w:r w:rsidR="0084260D" w:rsidRPr="0084260D">
        <w:rPr>
          <w:rFonts w:ascii="Times New Roman" w:hAnsi="Times New Roman" w:cs="Times New Roman"/>
          <w:sz w:val="24"/>
          <w:szCs w:val="24"/>
        </w:rPr>
        <w:t xml:space="preserve">data were </w:t>
      </w:r>
      <w:r w:rsidR="009B119F" w:rsidRPr="0084260D">
        <w:rPr>
          <w:rFonts w:ascii="Times New Roman" w:hAnsi="Times New Roman" w:cs="Times New Roman"/>
          <w:sz w:val="24"/>
          <w:szCs w:val="24"/>
        </w:rPr>
        <w:t>normalized to a reference year of 2010</w:t>
      </w:r>
      <w:r w:rsidR="0084260D" w:rsidRPr="0084260D">
        <w:rPr>
          <w:rFonts w:ascii="Times New Roman" w:hAnsi="Times New Roman" w:cs="Times New Roman"/>
          <w:sz w:val="24"/>
          <w:szCs w:val="24"/>
        </w:rPr>
        <w:t xml:space="preserve">. This was done by removing the </w:t>
      </w:r>
      <w:r w:rsidR="00D26C80">
        <w:rPr>
          <w:rFonts w:ascii="Times New Roman" w:hAnsi="Times New Roman" w:cs="Times New Roman"/>
          <w:sz w:val="24"/>
          <w:szCs w:val="24"/>
        </w:rPr>
        <w:t xml:space="preserve">average </w:t>
      </w:r>
      <w:r w:rsidR="0084260D" w:rsidRPr="0084260D">
        <w:rPr>
          <w:rFonts w:ascii="Times New Roman" w:hAnsi="Times New Roman" w:cs="Times New Roman"/>
          <w:sz w:val="24"/>
          <w:szCs w:val="24"/>
        </w:rPr>
        <w:t>seasonal cycle from the record</w:t>
      </w:r>
      <w:r w:rsidR="006B6BC4">
        <w:rPr>
          <w:rFonts w:ascii="Times New Roman" w:hAnsi="Times New Roman" w:cs="Times New Roman"/>
          <w:sz w:val="24"/>
          <w:szCs w:val="24"/>
        </w:rPr>
        <w:t>,</w:t>
      </w:r>
      <w:r w:rsidR="0084260D" w:rsidRPr="0084260D">
        <w:rPr>
          <w:rFonts w:ascii="Times New Roman" w:hAnsi="Times New Roman" w:cs="Times New Roman"/>
          <w:sz w:val="24"/>
          <w:szCs w:val="24"/>
        </w:rPr>
        <w:t xml:space="preserve"> then removing the long-term trend</w:t>
      </w:r>
      <w:r w:rsidR="009B119F" w:rsidRPr="0084260D">
        <w:rPr>
          <w:rFonts w:ascii="Times New Roman" w:hAnsi="Times New Roman" w:cs="Times New Roman"/>
          <w:sz w:val="24"/>
          <w:szCs w:val="24"/>
        </w:rPr>
        <w:t xml:space="preserve"> </w:t>
      </w:r>
      <w:r w:rsidR="001C7163">
        <w:rPr>
          <w:rFonts w:ascii="Times New Roman" w:hAnsi="Times New Roman" w:cs="Times New Roman"/>
          <w:sz w:val="24"/>
          <w:szCs w:val="24"/>
        </w:rPr>
        <w:t xml:space="preserve">from the residuals </w:t>
      </w:r>
      <w:r w:rsidR="009B119F" w:rsidRPr="0084260D">
        <w:rPr>
          <w:rFonts w:ascii="Times New Roman" w:hAnsi="Times New Roman" w:cs="Times New Roman"/>
          <w:sz w:val="24"/>
          <w:szCs w:val="24"/>
        </w:rPr>
        <w:t>using a</w:t>
      </w:r>
      <w:r w:rsidR="006B6BC4">
        <w:rPr>
          <w:rFonts w:ascii="Times New Roman" w:hAnsi="Times New Roman" w:cs="Times New Roman"/>
          <w:sz w:val="24"/>
          <w:szCs w:val="24"/>
        </w:rPr>
        <w:t xml:space="preserve"> linear least squares approach </w:t>
      </w:r>
      <w:r w:rsidR="009B119F" w:rsidRPr="0084260D">
        <w:rPr>
          <w:rFonts w:ascii="Times New Roman" w:hAnsi="Times New Roman" w:cs="Times New Roman"/>
          <w:sz w:val="24"/>
          <w:szCs w:val="24"/>
        </w:rPr>
        <w:t>following</w:t>
      </w:r>
      <w:r w:rsidR="006B19BF">
        <w:rPr>
          <w:rFonts w:ascii="Times New Roman" w:hAnsi="Times New Roman" w:cs="Times New Roman"/>
          <w:sz w:val="24"/>
          <w:szCs w:val="24"/>
        </w:rPr>
        <w:t xml:space="preserve"> </w:t>
      </w:r>
      <w:r w:rsidR="006B19BF">
        <w:rPr>
          <w:rFonts w:ascii="Times New Roman" w:hAnsi="Times New Roman" w:cs="Times New Roman"/>
          <w:sz w:val="24"/>
          <w:szCs w:val="24"/>
        </w:rPr>
        <w:fldChar w:fldCharType="begin" w:fldLock="1"/>
      </w:r>
      <w:r w:rsidR="006B19BF">
        <w:rPr>
          <w:rFonts w:ascii="Times New Roman" w:hAnsi="Times New Roman" w:cs="Times New Roman"/>
          <w:sz w:val="24"/>
          <w:szCs w:val="24"/>
        </w:rPr>
        <w:instrText>ADDIN CSL_CITATION { "citationItems" : [ { "id" : "ITEM-1", "itemData" : { "DOI" : "10.5670/oceanog.2014.16", "ISSN" : "10428275", "abstract" : "Sustained observations provide critically needed data and understanding not only about ocean warming and water cycle reorganization (e.g., salinity changes), ocean eutrophication, and ocean deoxygenation, but also about changes in ocean chemistry. As an example of changes in the global ocean carbon cycle, consistent changes in surface seawater CO2-carbonate chemistry are documented by seven independent CO2 time series that provide sustained ocean observations collected for periods from 15 to 30 years: (1) Iceland Sea, (2) Irminger Sea, (3) Bermuda Atlantic Time-series Study (BATS), (4) European Station for Time series in the Ocean at the Canary Islands (ESTOC), (5) CArbon Retention In A Colored Ocean sites in the North Atlantic (CARIACO), (6) Hawaii Ocean Time-series (HOT), and (7) Munida in the Pacific Ocean. These ocean time-series sites exhibit very consistent changes in surface ocean chemistry that reflect the impact of uptake of anthropogenic CO2 and ocean acidification. The article discusses the long-term changes in dissolved inorganic carbon (DIC), salinity-normalized DIC, and surface seawater pCO2 (partial pressure of CO2) due to the uptake of anthropogenic CO2 and its impact on the ocean's buffering capacity. In addition, we evaluate changes in seawater chemistry that are due to ocean acidification and its impact on pH and saturation states for biogenic calcium carbonate minerals.", "author" : [ { "dropping-particle" : "", "family" : "Bates", "given" : "Nicholas", "non-dropping-particle" : "", "parse-names" : false, "suffix" : "" }, { "dropping-particle" : "", "family" : "Astor", "given" : "Yrene", "non-dropping-particle" : "", "parse-names" : false, "suffix" : "" }, { "dropping-particle" : "", "family" : "Church", "given" : "Matthew", "non-dropping-particle" : "", "parse-names" : false, "suffix" : "" }, { "dropping-particle" : "", "family" : "Currie", "given" : "Kim", "non-dropping-particle" : "", "parse-names" : false, "suffix" : "" }, { "dropping-particle" : "", "family" : "Dore", "given" : "John", "non-dropping-particle" : "", "parse-names" : false, "suffix" : "" }, { "dropping-particle" : "", "family" : "Gona\u00e1lez-D\u00e1vila", "given" : "Melchor", "non-dropping-particle" : "", "parse-names" : false, "suffix" : "" }, { "dropping-particle" : "", "family" : "Lorenzoni", "given" : "Laura", "non-dropping-particle" : "", "parse-names" : false, "suffix" : "" }, { "dropping-particle" : "", "family" : "Muller-Karger", "given" : "Frank", "non-dropping-particle" : "", "parse-names" : false, "suffix" : "" }, { "dropping-particle" : "", "family" : "Olafsson", "given" : "Jon", "non-dropping-particle" : "", "parse-names" : false, "suffix" : "" }, { "dropping-particle" : "", "family" : "Santa-Casiano", "given" : "Magdalena", "non-dropping-particle" : "", "parse-names" : false, "suffix" : "" } ], "container-title" : "Oceanography", "id" : "ITEM-1", "issue" : "1", "issued" : { "date-parts" : [ [ "2014", "3", "1" ] ] }, "page" : "126-141", "title" : "A Time-Series View of Changing Ocean Chemistry Due to Ocean Uptake of Anthropogenic CO&lt;sub&gt;2&lt;/sub&gt; and Ocean Acidification", "type" : "article-journal", "volume" : "27" }, "uris" : [ "http://www.mendeley.com/documents/?uuid=5ea39933-eba4-46de-8c10-0f3cab507f58" ] } ], "mendeley" : { "formattedCitation" : "[&lt;i&gt;Bates et al.&lt;/i&gt;, 2014]", "manualFormatting" : "Bates et al., [2014]", "plainTextFormattedCitation" : "[Bates et al., 2014]", "previouslyFormattedCitation" : "[&lt;i&gt;Bates et al.&lt;/i&gt;, 2014]" }, "properties" : { "noteIndex" : 0 }, "schema" : "https://github.com/citation-style-language/schema/raw/master/csl-citation.json" }</w:instrText>
      </w:r>
      <w:r w:rsidR="006B19BF">
        <w:rPr>
          <w:rFonts w:ascii="Times New Roman" w:hAnsi="Times New Roman" w:cs="Times New Roman"/>
          <w:sz w:val="24"/>
          <w:szCs w:val="24"/>
        </w:rPr>
        <w:fldChar w:fldCharType="separate"/>
      </w:r>
      <w:r w:rsidR="006B19BF" w:rsidRPr="006B19BF">
        <w:rPr>
          <w:rFonts w:ascii="Times New Roman" w:hAnsi="Times New Roman" w:cs="Times New Roman"/>
          <w:i/>
          <w:noProof/>
          <w:sz w:val="24"/>
          <w:szCs w:val="24"/>
        </w:rPr>
        <w:t>Bates et al.</w:t>
      </w:r>
      <w:r w:rsidR="006B19BF" w:rsidRPr="006B19BF">
        <w:rPr>
          <w:rFonts w:ascii="Times New Roman" w:hAnsi="Times New Roman" w:cs="Times New Roman"/>
          <w:noProof/>
          <w:sz w:val="24"/>
          <w:szCs w:val="24"/>
        </w:rPr>
        <w:t xml:space="preserve"> </w:t>
      </w:r>
      <w:r w:rsidR="006B19BF">
        <w:rPr>
          <w:rFonts w:ascii="Times New Roman" w:hAnsi="Times New Roman" w:cs="Times New Roman"/>
          <w:noProof/>
          <w:sz w:val="24"/>
          <w:szCs w:val="24"/>
        </w:rPr>
        <w:t>[</w:t>
      </w:r>
      <w:r w:rsidR="006B19BF" w:rsidRPr="006B19BF">
        <w:rPr>
          <w:rFonts w:ascii="Times New Roman" w:hAnsi="Times New Roman" w:cs="Times New Roman"/>
          <w:noProof/>
          <w:sz w:val="24"/>
          <w:szCs w:val="24"/>
        </w:rPr>
        <w:t>2014]</w:t>
      </w:r>
      <w:r w:rsidR="006B19BF">
        <w:rPr>
          <w:rFonts w:ascii="Times New Roman" w:hAnsi="Times New Roman" w:cs="Times New Roman"/>
          <w:sz w:val="24"/>
          <w:szCs w:val="24"/>
        </w:rPr>
        <w:fldChar w:fldCharType="end"/>
      </w:r>
      <w:r w:rsidR="009B119F" w:rsidRPr="0084260D">
        <w:rPr>
          <w:rFonts w:ascii="Times New Roman" w:hAnsi="Times New Roman" w:cs="Times New Roman"/>
          <w:sz w:val="24"/>
          <w:szCs w:val="24"/>
        </w:rPr>
        <w:t xml:space="preserve"> </w:t>
      </w:r>
      <w:r w:rsidR="006B19BF">
        <w:rPr>
          <w:rFonts w:ascii="Times New Roman" w:hAnsi="Times New Roman" w:cs="Times New Roman"/>
          <w:sz w:val="24"/>
          <w:szCs w:val="24"/>
        </w:rPr>
        <w:t xml:space="preserve">and </w:t>
      </w:r>
      <w:r w:rsidR="006B19BF">
        <w:rPr>
          <w:rFonts w:ascii="Times New Roman" w:hAnsi="Times New Roman" w:cs="Times New Roman"/>
          <w:sz w:val="24"/>
          <w:szCs w:val="24"/>
        </w:rPr>
        <w:fldChar w:fldCharType="begin" w:fldLock="1"/>
      </w:r>
      <w:r w:rsidR="006B19BF">
        <w:rPr>
          <w:rFonts w:ascii="Times New Roman" w:hAnsi="Times New Roman" w:cs="Times New Roman"/>
          <w:sz w:val="24"/>
          <w:szCs w:val="24"/>
        </w:rPr>
        <w:instrText>ADDIN CSL_CITATION { "citationItems" : [ { "id" : "ITEM-1", "itemData" : { "DOI" : "10.1016/j.dsr2.2008.12.009", "ISBN" : "0967-0645", "ISSN" : "09670645", "abstract" : "A climatological mean distribution for the surface water pCO2 over the global oceans in non-El Ni\u00f1o conditions has been constructed with spatial resolution of 4\u00b0 (latitude) \u00d75\u00b0 (longitude) for a reference year 2000 based upon about 3 million measurements of surface water pCO2 obtained from 1970 to 2007. The database used for this study is about 3 times larger than the 0.94 million used for our earlier paper [Takahashi et al., 2002. Global sea-air CO2 flux based on climatological surface ocean pCO2, and seasonal biological and temperature effects. Deep-Sea Res. II, 49, 1601-1622]. A time-trend analysis using deseasonalized surface water pCO2 data in portions of the North Atlantic, North and South Pacific and Southern Oceans (which cover about 27% of the global ocean areas) indicates that the surface water pCO2 over these oceanic areas has increased on average at a mean rate of 1.5 \u03bcatm y-1 with basin-specific rates varying between 1.2\u00b10.5 and 2.1\u00b10.4 \u03bcatm y-1. A global ocean database for a single reference year 2000 is assembled using this mean rate for correcting observations made in different years to the reference year. The observations made during El Ni\u00f1o periods in the equatorial Pacific and those made in coastal zones are excluded from the database. Seasonal changes in the surface water pCO2 and the sea-air pCO2 difference over four climatic zones in the Atlantic, Pacific, Indian and Southern Oceans are presented. Over the Southern Ocean seasonal ice zone, the seasonality is complex. Although it cannot be thoroughly documented due to the limited extent of observations, seasonal changes in pCO2 are approximated by using the data for under-ice waters during austral winter and those for the marginal ice and ice-free zones. The net air-sea CO2 flux is estimated using the sea-air pCO2 difference and the air-sea gas transfer rate that is parameterized as a function of (wind speed)2 with a scaling factor of 0.26. This is estimated by inverting the bomb 14C data using Ocean General Circulation models and the 1979-2005 NCEP-DOE AMIP-II Reanalysis (R-2) wind speed data. The equatorial Pacific (14\u00b0N-14\u00b0S) is the major source for atmospheric CO2, emitting about +0.48 Pg-C y-1, and the temperate oceans between 14\u00b0 and 50\u00b0 in the both hemispheres are the major sink zones with an uptake flux of -0.70 Pg-C y-1 for the northern and -1.05 Pg-C y-1 for the southern zone. The high-latitude North Atlantic, including the Nordic Seas and portion of the Arctic Sea, is the\u2026", "author" : [ { "dropping-particle" : "", "family" : "Takahashi", "given" : "T.", "non-dropping-particle" : "", "parse-names" : false, "suffix" : "" }, { "dropping-particle" : "", "family" : "Sutherland", "given" : "S. C.", "non-dropping-particle" : "", "parse-names" : false, "suffix" : "" }, { "dropping-particle" : "", "family" : "Wanninkhof", "given" : "R.", "non-dropping-particle" : "", "parse-names" : false, "suffix" : "" }, { "dropping-particle" : "", "family" : "Sweeney", "given" : "C.", "non-dropping-particle" : "", "parse-names" : false, "suffix" : "" }, { "dropping-particle" : "", "family" : "Feely", "given" : "R.A.", "non-dropping-particle" : "", "parse-names" : false, "suffix" : "" }, { "dropping-particle" : "", "family" : "Chipman", "given" : "D. W", "non-dropping-particle" : "", "parse-names" : false, "suffix" : "" }, { "dropping-particle" : "", "family" : "Hales", "given" : "B.", "non-dropping-particle" : "", "parse-names" : false, "suffix" : "" }, { "dropping-particle" : "", "family" : "Friederich", "given" : "G.", "non-dropping-particle" : "", "parse-names" : false, "suffix" : "" }, { "dropping-particle" : "", "family" : "Chavez", "given" : "F. P.", "non-dropping-particle" : "", "parse-names" : false, "suffix" : "" }, { "dropping-particle" : "", "family" : "Sabine", "given" : "C. L.", "non-dropping-particle" : "", "parse-names" : false, "suffix" : "" }, { "dropping-particle" : "", "family" : "Watson", "given" : "A.J.", "non-dropping-particle" : "", "parse-names" : false, "suffix" : "" }, { "dropping-particle" : "", "family" : "Bakker", "given" : "D. C. E.", "non-dropping-particle" : "", "parse-names" : false, "suffix" : "" }, { "dropping-particle" : "", "family" : "Schuster", "given" : "Ute", "non-dropping-particle" : "", "parse-names" : false, "suffix" : "" }, { "dropping-particle" : "", "family" : "Metzl", "given" : "Nicolas", "non-dropping-particle" : "", "parse-names" : false, "suffix" : "" }, { "dropping-particle" : "", "family" : "Yoshikawa-Inoue", "given" : "H.", "non-dropping-particle" : "", "parse-names" : false, "suffix" : "" }, { "dropping-particle" : "", "family" : "Ishii", "given" : "Masao", "non-dropping-particle" : "", "parse-names" : false, "suffix" : "" }, { "dropping-particle" : "", "family" : "Midorikawa", "given" : "Takashi", "non-dropping-particle" : "", "parse-names" : false, "suffix" : "" }, { "dropping-particle" : "", "family" : "Nojiri", "given" : "Yukihiro", "non-dropping-particle" : "", "parse-names" : false, "suffix" : "" }, { "dropping-particle" : "", "family" : "K\u00f6rtzinger", "given" : "Arne", "non-dropping-particle" : "", "parse-names" : false, "suffix" : "" }, { "dropping-particle" : "", "family" : "Steinhoff", "given" : "Tobias", "non-dropping-particle" : "", "parse-names" : false, "suffix" : "" }, { "dropping-particle" : "", "family" : "Hoppema", "given" : "Mario", "non-dropping-particle" : "", "parse-names" : false, "suffix" : "" }, { "dropping-particle" : "", "family" : "Olafsson", "given" : "Jon", "non-dropping-particle" : "", "parse-names" : false, "suffix" : "" }, { "dropping-particle" : "", "family" : "Arnarson", "given" : "Thorarinn S.", "non-dropping-particle" : "", "parse-names" : false, "suffix" : "" }, { "dropping-particle" : "", "family" : "Tilbrook", "given" : "Bronte", "non-dropping-particle" : "", "parse-names" : false, "suffix" : "" }, { "dropping-particle" : "", "family" : "Johannessen", "given" : "Truls", "non-dropping-particle" : "", "parse-names" : false, "suffix" : "" }, { "dropping-particle" : "", "family" : "Olsen", "given" : "Are", "non-dropping-particle" : "", "parse-names" : false, "suffix" : "" }, { "dropping-particle" : "", "family" : "Bellerby", "given" : "Richard", "non-dropping-particle" : "", "parse-names" : false, "suffix" : "" }, { "dropping-particle" : "", "family" : "Wong", "given" : "C. S.", "non-dropping-particle" : "", "parse-names" : false, "suffix" : "" }, { "dropping-particle" : "", "family" : "Delille", "given" : "Bruno", "non-dropping-particle" : "", "parse-names" : false, "suffix" : "" }, { "dropping-particle" : "", "family" : "Bates", "given" : "N.R.", "non-dropping-particle" : "", "parse-names" : false, "suffix" : "" }, { "dropping-particle" : "", "family" : "Baar", "given" : "Hein J W", "non-dropping-particle" : "de", "parse-names" : false, "suffix" : "" } ], "container-title" : "Deep-Sea Research II", "id" : "ITEM-1", "issue" : "8-10", "issued" : { "date-parts" : [ [ "2009", "4" ] ] }, "note" : "-Equatorial pacific emits ~0.5 PgC/yr\n-temperate regions between 14 and 50 degrees in both hemispheres take up 0.7 PgC/yr for the nroth and 1 PgC/yr for the south\n-North atlantic is most intense sink\n-annual mean ocean co2 uptake over global oceans is 1.6 +/- 0.9 PgC/yr\n-including the pre industrial steady-state ocean source of CO2 of 0.2 PgC/yr, this means the total ocean uptake flux including anthropogenic Co2 is 2 PgC/yr in 2000", "page" : "554-577", "title" : "Climatological mean and decadal change in surface ocean &lt;i&gt;p&lt;/i&gt;CO&lt;sub&gt;2&lt;/sub&gt;, and net sea-air CO&lt;sub&gt;2&lt;/sub&gt;, flux over the global oceans", "type" : "article-journal", "volume" : "56" }, "uris" : [ "http://www.mendeley.com/documents/?uuid=c6c7aaca-eeba-4f3b-8220-bb47974dea79" ] } ], "mendeley" : { "formattedCitation" : "[&lt;i&gt;Takahashi et al.&lt;/i&gt;, 2009]", "plainTextFormattedCitation" : "[Takahashi et al., 2009]" }, "properties" : { "noteIndex" : 0 }, "schema" : "https://github.com/citation-style-language/schema/raw/master/csl-citation.json" }</w:instrText>
      </w:r>
      <w:r w:rsidR="006B19BF">
        <w:rPr>
          <w:rFonts w:ascii="Times New Roman" w:hAnsi="Times New Roman" w:cs="Times New Roman"/>
          <w:sz w:val="24"/>
          <w:szCs w:val="24"/>
        </w:rPr>
        <w:fldChar w:fldCharType="separate"/>
      </w:r>
      <w:r w:rsidR="006B19BF" w:rsidRPr="006B19BF">
        <w:rPr>
          <w:rFonts w:ascii="Times New Roman" w:hAnsi="Times New Roman" w:cs="Times New Roman"/>
          <w:i/>
          <w:noProof/>
          <w:sz w:val="24"/>
          <w:szCs w:val="24"/>
        </w:rPr>
        <w:t>Takahashi et al</w:t>
      </w:r>
      <w:r w:rsidR="006B19BF" w:rsidRPr="006B19BF">
        <w:rPr>
          <w:rFonts w:ascii="Times New Roman" w:hAnsi="Times New Roman" w:cs="Times New Roman"/>
          <w:noProof/>
          <w:sz w:val="24"/>
          <w:szCs w:val="24"/>
        </w:rPr>
        <w:t xml:space="preserve">, </w:t>
      </w:r>
      <w:r w:rsidR="006B19BF">
        <w:rPr>
          <w:rFonts w:ascii="Times New Roman" w:hAnsi="Times New Roman" w:cs="Times New Roman"/>
          <w:noProof/>
          <w:sz w:val="24"/>
          <w:szCs w:val="24"/>
        </w:rPr>
        <w:t>[</w:t>
      </w:r>
      <w:r w:rsidR="006B19BF" w:rsidRPr="006B19BF">
        <w:rPr>
          <w:rFonts w:ascii="Times New Roman" w:hAnsi="Times New Roman" w:cs="Times New Roman"/>
          <w:noProof/>
          <w:sz w:val="24"/>
          <w:szCs w:val="24"/>
        </w:rPr>
        <w:t>2009]</w:t>
      </w:r>
      <w:r w:rsidR="006B19BF">
        <w:rPr>
          <w:rFonts w:ascii="Times New Roman" w:hAnsi="Times New Roman" w:cs="Times New Roman"/>
          <w:sz w:val="24"/>
          <w:szCs w:val="24"/>
        </w:rPr>
        <w:fldChar w:fldCharType="end"/>
      </w:r>
      <w:r w:rsidR="006B19BF">
        <w:rPr>
          <w:rFonts w:ascii="Times New Roman" w:hAnsi="Times New Roman" w:cs="Times New Roman"/>
          <w:sz w:val="24"/>
          <w:szCs w:val="24"/>
        </w:rPr>
        <w:t xml:space="preserve">. </w:t>
      </w:r>
      <w:r w:rsidR="00E64963">
        <w:rPr>
          <w:rFonts w:ascii="Times New Roman" w:hAnsi="Times New Roman" w:cs="Times New Roman"/>
          <w:sz w:val="24"/>
          <w:szCs w:val="24"/>
        </w:rPr>
        <w:lastRenderedPageBreak/>
        <w:t>The original observations with the long-term trend removed</w:t>
      </w:r>
      <w:r w:rsidR="0084260D" w:rsidRPr="0084260D">
        <w:rPr>
          <w:rFonts w:ascii="Times New Roman" w:hAnsi="Times New Roman" w:cs="Times New Roman"/>
          <w:sz w:val="24"/>
          <w:szCs w:val="24"/>
        </w:rPr>
        <w:t xml:space="preserve"> </w:t>
      </w:r>
      <w:r w:rsidR="001C7163">
        <w:rPr>
          <w:rFonts w:ascii="Times New Roman" w:hAnsi="Times New Roman" w:cs="Times New Roman"/>
          <w:sz w:val="24"/>
          <w:szCs w:val="24"/>
        </w:rPr>
        <w:t xml:space="preserve">were </w:t>
      </w:r>
      <w:r w:rsidR="006B6BC4">
        <w:rPr>
          <w:rFonts w:ascii="Times New Roman" w:hAnsi="Times New Roman" w:cs="Times New Roman"/>
          <w:sz w:val="24"/>
          <w:szCs w:val="24"/>
        </w:rPr>
        <w:t xml:space="preserve">then </w:t>
      </w:r>
      <w:r w:rsidR="0084260D" w:rsidRPr="0016290D">
        <w:rPr>
          <w:rFonts w:ascii="Times New Roman" w:hAnsi="Times New Roman" w:cs="Times New Roman"/>
          <w:sz w:val="24"/>
          <w:szCs w:val="24"/>
        </w:rPr>
        <w:t>used to characterize mon</w:t>
      </w:r>
      <w:r w:rsidR="006B6BC4">
        <w:rPr>
          <w:rFonts w:ascii="Times New Roman" w:hAnsi="Times New Roman" w:cs="Times New Roman"/>
          <w:sz w:val="24"/>
          <w:szCs w:val="24"/>
        </w:rPr>
        <w:t>thly climatologies at each site</w:t>
      </w:r>
      <w:r w:rsidR="0084260D" w:rsidRPr="0016290D">
        <w:rPr>
          <w:rFonts w:ascii="Times New Roman" w:hAnsi="Times New Roman" w:cs="Times New Roman"/>
          <w:sz w:val="24"/>
          <w:szCs w:val="24"/>
        </w:rPr>
        <w:t>.</w:t>
      </w:r>
      <w:r w:rsidR="004629D1">
        <w:rPr>
          <w:rFonts w:ascii="Times New Roman" w:hAnsi="Times New Roman" w:cs="Times New Roman"/>
          <w:sz w:val="24"/>
          <w:szCs w:val="24"/>
        </w:rPr>
        <w:t xml:space="preserve"> </w:t>
      </w:r>
    </w:p>
    <w:p w14:paraId="4B63E59E" w14:textId="77777777" w:rsidR="00216336" w:rsidRDefault="00216336" w:rsidP="004629D1">
      <w:pPr>
        <w:pStyle w:val="CommentText"/>
        <w:spacing w:after="0" w:line="360" w:lineRule="auto"/>
        <w:ind w:firstLine="360"/>
        <w:jc w:val="both"/>
        <w:rPr>
          <w:rFonts w:ascii="Times New Roman" w:hAnsi="Times New Roman" w:cs="Times New Roman"/>
          <w:sz w:val="24"/>
          <w:szCs w:val="24"/>
        </w:rPr>
      </w:pPr>
    </w:p>
    <w:p w14:paraId="447A3B82" w14:textId="77309869" w:rsidR="004629D1" w:rsidRDefault="00E84D91" w:rsidP="004629D1">
      <w:pPr>
        <w:pStyle w:val="CommentText"/>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3-hour, sea surface </w:t>
      </w:r>
      <w:r w:rsidRPr="004629D1">
        <w:rPr>
          <w:rFonts w:ascii="Times New Roman" w:hAnsi="Times New Roman" w:cs="Times New Roman"/>
          <w:i/>
          <w:sz w:val="24"/>
          <w:szCs w:val="24"/>
        </w:rPr>
        <w:t>p</w:t>
      </w:r>
      <w:r>
        <w:rPr>
          <w:rFonts w:ascii="Times New Roman" w:hAnsi="Times New Roman" w:cs="Times New Roman"/>
          <w:sz w:val="24"/>
          <w:szCs w:val="24"/>
        </w:rPr>
        <w:t>CO</w:t>
      </w:r>
      <w:r w:rsidRPr="004629D1">
        <w:rPr>
          <w:rFonts w:ascii="Times New Roman" w:hAnsi="Times New Roman" w:cs="Times New Roman"/>
          <w:sz w:val="24"/>
          <w:szCs w:val="24"/>
          <w:vertAlign w:val="subscript"/>
        </w:rPr>
        <w:t>2</w:t>
      </w:r>
      <w:r>
        <w:rPr>
          <w:rFonts w:ascii="Times New Roman" w:hAnsi="Times New Roman" w:cs="Times New Roman"/>
          <w:sz w:val="24"/>
          <w:szCs w:val="24"/>
        </w:rPr>
        <w:t xml:space="preserve"> observations and corresponding salinity-based TA estimates </w:t>
      </w:r>
      <w:r>
        <w:rPr>
          <w:rFonts w:ascii="Times New Roman" w:hAnsi="Times New Roman" w:cs="Times New Roman"/>
          <w:sz w:val="24"/>
          <w:szCs w:val="24"/>
        </w:rPr>
        <w:fldChar w:fldCharType="begin" w:fldLock="1"/>
      </w:r>
      <w:r w:rsidR="006B19BF">
        <w:rPr>
          <w:rFonts w:ascii="Times New Roman" w:hAnsi="Times New Roman" w:cs="Times New Roman"/>
          <w:sz w:val="24"/>
          <w:szCs w:val="24"/>
        </w:rPr>
        <w:instrText>ADDIN CSL_CITATION { "citationItems" : [ { "id" : "ITEM-1", "itemData" : { "DOI" : "10.1002/2015GB005205", "ISSN" : "08866236", "author" : [ { "dropping-particle" : "", "family" : "Fassbender", "given" : "Andrea J.", "non-dropping-particle" : "", "parse-names" : false, "suffix" : "" }, { "dropping-particle" : "", "family" : "Sabine", "given" : "Christopher L.", "non-dropping-particle" : "", "parse-names" : false, "suffix" : "" }, { "dropping-particle" : "", "family" : "Cronin", "given" : "Meghan F.", "non-dropping-particle" : "", "parse-names" : false, "suffix" : "" } ], "container-title" : "Global Biogeochemical Cycles", "id" : "ITEM-1", "issue" : "2", "issued" : { "date-parts" : [ [ "2016", "2" ] ] }, "page" : "250-267", "title" : "Net community production and calcification from 7 years of NOAA Station Papa Mooring measurements", "type" : "article-journal", "volume" : "30" }, "uris" : [ "http://www.mendeley.com/documents/?uuid=c663330e-f3dd-404f-bdbc-a6e4cd3f837d" ] }, { "id" : "ITEM-2", "itemData" : { "DOI" : "10.1002/2016GB005547", "ISSN" : "08866236", "author" : [ { "dropping-particle" : "", "family" : "Fassbender", "given" : "Andrea J.", "non-dropping-particle" : "", "parse-names" : false, "suffix" : "" }, { "dropping-particle" : "", "family" : "Sabine", "given" : "Christopher L.", "non-dropping-particle" : "", "parse-names" : false, "suffix" : "" }, { "dropping-particle" : "", "family" : "Cronin", "given" : "Meghan F.", "non-dropping-particle" : "", "parse-names" : false, "suffix" : "" }, { "dropping-particle" : "", "family" : "Sutton", "given" : "Adrienne J.", "non-dropping-particle" : "", "parse-names" : false, "suffix" : "" } ], "container-title" : "Global Biogeochemical Cycles", "id" : "ITEM-2", "issued" : { "date-parts" : [ [ "2017" ] ] }, "page" : "1-17", "title" : "Mixed-layer carbon cycling at the Kuroshio Extension Observatory", "type" : "article-journal" }, "uris" : [ "http://www.mendeley.com/documents/?uuid=483d25cd-e859-4210-8f70-54423dc1cee3" ] } ], "mendeley" : { "formattedCitation" : "[&lt;i&gt;Fassbender et al.&lt;/i&gt;, 2016, 2017]", "plainTextFormattedCitation" : "[Fassbender et al., 2016, 2017]", "previouslyFormattedCitation" : "[&lt;i&gt;Fassbender et al.&lt;/i&gt;, 2016, 2017]" }, "properties" : { "noteIndex" : 0 }, "schema" : "https://github.com/citation-style-language/schema/raw/master/csl-citation.json" }</w:instrText>
      </w:r>
      <w:r>
        <w:rPr>
          <w:rFonts w:ascii="Times New Roman" w:hAnsi="Times New Roman" w:cs="Times New Roman"/>
          <w:sz w:val="24"/>
          <w:szCs w:val="24"/>
        </w:rPr>
        <w:fldChar w:fldCharType="separate"/>
      </w:r>
      <w:r w:rsidR="00544B45" w:rsidRPr="00544B45">
        <w:rPr>
          <w:rFonts w:ascii="Times New Roman" w:hAnsi="Times New Roman" w:cs="Times New Roman"/>
          <w:noProof/>
          <w:sz w:val="24"/>
          <w:szCs w:val="24"/>
        </w:rPr>
        <w:t>[</w:t>
      </w:r>
      <w:r w:rsidR="00544B45" w:rsidRPr="00544B45">
        <w:rPr>
          <w:rFonts w:ascii="Times New Roman" w:hAnsi="Times New Roman" w:cs="Times New Roman"/>
          <w:i/>
          <w:noProof/>
          <w:sz w:val="24"/>
          <w:szCs w:val="24"/>
        </w:rPr>
        <w:t>Fassbender et al.</w:t>
      </w:r>
      <w:r w:rsidR="00544B45" w:rsidRPr="00544B45">
        <w:rPr>
          <w:rFonts w:ascii="Times New Roman" w:hAnsi="Times New Roman" w:cs="Times New Roman"/>
          <w:noProof/>
          <w:sz w:val="24"/>
          <w:szCs w:val="24"/>
        </w:rPr>
        <w:t>, 2016, 2017]</w:t>
      </w:r>
      <w:r>
        <w:rPr>
          <w:rFonts w:ascii="Times New Roman" w:hAnsi="Times New Roman" w:cs="Times New Roman"/>
          <w:sz w:val="24"/>
          <w:szCs w:val="24"/>
        </w:rPr>
        <w:fldChar w:fldCharType="end"/>
      </w:r>
      <w:r>
        <w:rPr>
          <w:rFonts w:ascii="Times New Roman" w:hAnsi="Times New Roman" w:cs="Times New Roman"/>
          <w:color w:val="000000" w:themeColor="text1"/>
          <w:sz w:val="24"/>
          <w:szCs w:val="24"/>
        </w:rPr>
        <w:t xml:space="preserve"> </w:t>
      </w:r>
      <w:r w:rsidR="00410ADA">
        <w:rPr>
          <w:rFonts w:ascii="Times New Roman" w:hAnsi="Times New Roman" w:cs="Times New Roman"/>
          <w:sz w:val="24"/>
          <w:szCs w:val="24"/>
        </w:rPr>
        <w:t>from</w:t>
      </w:r>
      <w:r>
        <w:rPr>
          <w:rFonts w:ascii="Times New Roman" w:hAnsi="Times New Roman" w:cs="Times New Roman"/>
          <w:sz w:val="24"/>
          <w:szCs w:val="24"/>
        </w:rPr>
        <w:t xml:space="preserve"> 2007 to 2014 </w:t>
      </w:r>
      <w:r>
        <w:rPr>
          <w:rFonts w:ascii="Times New Roman" w:hAnsi="Times New Roman" w:cs="Times New Roman"/>
          <w:color w:val="000000" w:themeColor="text1"/>
          <w:sz w:val="24"/>
          <w:szCs w:val="24"/>
        </w:rPr>
        <w:t xml:space="preserve">at </w:t>
      </w:r>
      <w:r w:rsidR="0016290D" w:rsidRPr="0016290D">
        <w:rPr>
          <w:rFonts w:ascii="Times New Roman" w:hAnsi="Times New Roman" w:cs="Times New Roman"/>
          <w:sz w:val="24"/>
          <w:szCs w:val="24"/>
        </w:rPr>
        <w:t>the Kuroshio Extension Observatory (KEO; 32.3°N, 144.5°E)</w:t>
      </w:r>
      <w:r w:rsidR="004629D1">
        <w:rPr>
          <w:rFonts w:ascii="Times New Roman" w:hAnsi="Times New Roman" w:cs="Times New Roman"/>
          <w:sz w:val="24"/>
          <w:szCs w:val="24"/>
        </w:rPr>
        <w:t xml:space="preserve"> and </w:t>
      </w:r>
      <w:r w:rsidR="0016290D" w:rsidRPr="0016290D">
        <w:rPr>
          <w:rFonts w:ascii="Times New Roman" w:hAnsi="Times New Roman" w:cs="Times New Roman"/>
          <w:sz w:val="24"/>
          <w:szCs w:val="24"/>
        </w:rPr>
        <w:t>Ocean Station Papa (OSP; 50°N, 145°W)</w:t>
      </w:r>
      <w:r>
        <w:rPr>
          <w:rFonts w:ascii="Times New Roman" w:hAnsi="Times New Roman" w:cs="Times New Roman"/>
          <w:sz w:val="24"/>
          <w:szCs w:val="24"/>
        </w:rPr>
        <w:t xml:space="preserve"> surface moorings</w:t>
      </w:r>
      <w:r w:rsidR="004629D1">
        <w:rPr>
          <w:rFonts w:ascii="Times New Roman" w:hAnsi="Times New Roman" w:cs="Times New Roman"/>
          <w:sz w:val="24"/>
          <w:szCs w:val="24"/>
        </w:rPr>
        <w:t xml:space="preserve"> were used to calculated other carbonate system parameters of interest. Due </w:t>
      </w:r>
      <w:r w:rsidR="006D3243">
        <w:rPr>
          <w:rFonts w:ascii="Times New Roman" w:hAnsi="Times New Roman" w:cs="Times New Roman"/>
          <w:sz w:val="24"/>
          <w:szCs w:val="24"/>
        </w:rPr>
        <w:t>to</w:t>
      </w:r>
      <w:r w:rsidR="004629D1">
        <w:rPr>
          <w:rFonts w:ascii="Times New Roman" w:hAnsi="Times New Roman" w:cs="Times New Roman"/>
          <w:sz w:val="24"/>
          <w:szCs w:val="24"/>
        </w:rPr>
        <w:t xml:space="preserve"> the short </w:t>
      </w:r>
      <w:r w:rsidR="00054E1B">
        <w:rPr>
          <w:rFonts w:ascii="Times New Roman" w:hAnsi="Times New Roman" w:cs="Times New Roman"/>
          <w:sz w:val="24"/>
          <w:szCs w:val="24"/>
        </w:rPr>
        <w:t>duration</w:t>
      </w:r>
      <w:r w:rsidR="006D3243">
        <w:rPr>
          <w:rFonts w:ascii="Times New Roman" w:hAnsi="Times New Roman" w:cs="Times New Roman"/>
          <w:sz w:val="24"/>
          <w:szCs w:val="24"/>
        </w:rPr>
        <w:t xml:space="preserve"> of observations that </w:t>
      </w:r>
      <w:r w:rsidR="001C7163">
        <w:rPr>
          <w:rFonts w:ascii="Times New Roman" w:hAnsi="Times New Roman" w:cs="Times New Roman"/>
          <w:sz w:val="24"/>
          <w:szCs w:val="24"/>
        </w:rPr>
        <w:t>are</w:t>
      </w:r>
      <w:r w:rsidR="006D3243">
        <w:rPr>
          <w:rFonts w:ascii="Times New Roman" w:hAnsi="Times New Roman" w:cs="Times New Roman"/>
          <w:sz w:val="24"/>
          <w:szCs w:val="24"/>
        </w:rPr>
        <w:t xml:space="preserve"> already</w:t>
      </w:r>
      <w:r w:rsidR="004629D1">
        <w:rPr>
          <w:rFonts w:ascii="Times New Roman" w:hAnsi="Times New Roman" w:cs="Times New Roman"/>
          <w:sz w:val="24"/>
          <w:szCs w:val="24"/>
        </w:rPr>
        <w:t xml:space="preserve"> centered on </w:t>
      </w:r>
      <w:r w:rsidR="00054E1B">
        <w:rPr>
          <w:rFonts w:ascii="Times New Roman" w:hAnsi="Times New Roman" w:cs="Times New Roman"/>
          <w:sz w:val="24"/>
          <w:szCs w:val="24"/>
        </w:rPr>
        <w:t xml:space="preserve">the year </w:t>
      </w:r>
      <w:r w:rsidR="004629D1">
        <w:rPr>
          <w:rFonts w:ascii="Times New Roman" w:hAnsi="Times New Roman" w:cs="Times New Roman"/>
          <w:sz w:val="24"/>
          <w:szCs w:val="24"/>
        </w:rPr>
        <w:t xml:space="preserve">2010, these data were not detrended. </w:t>
      </w:r>
      <w:r w:rsidR="00F51234">
        <w:rPr>
          <w:rFonts w:ascii="Times New Roman" w:hAnsi="Times New Roman" w:cs="Times New Roman"/>
          <w:sz w:val="24"/>
          <w:szCs w:val="24"/>
        </w:rPr>
        <w:t xml:space="preserve">Data were averaged by month and then across years to calculate the </w:t>
      </w:r>
      <w:r w:rsidR="004629D1">
        <w:rPr>
          <w:rFonts w:ascii="Times New Roman" w:hAnsi="Times New Roman" w:cs="Times New Roman"/>
          <w:sz w:val="24"/>
          <w:szCs w:val="24"/>
        </w:rPr>
        <w:t xml:space="preserve">monthly climatologies </w:t>
      </w:r>
      <w:r w:rsidR="00560357">
        <w:rPr>
          <w:rFonts w:ascii="Times New Roman" w:hAnsi="Times New Roman" w:cs="Times New Roman"/>
          <w:sz w:val="24"/>
          <w:szCs w:val="24"/>
        </w:rPr>
        <w:t>for</w:t>
      </w:r>
      <w:r w:rsidR="004629D1">
        <w:rPr>
          <w:rFonts w:ascii="Times New Roman" w:hAnsi="Times New Roman" w:cs="Times New Roman"/>
          <w:sz w:val="24"/>
          <w:szCs w:val="24"/>
        </w:rPr>
        <w:t xml:space="preserve"> these sites. </w:t>
      </w:r>
    </w:p>
    <w:p w14:paraId="3075F530" w14:textId="77777777" w:rsidR="00760237" w:rsidRDefault="00760237" w:rsidP="004629D1">
      <w:pPr>
        <w:pStyle w:val="CommentText"/>
        <w:spacing w:after="0" w:line="360" w:lineRule="auto"/>
        <w:ind w:firstLine="360"/>
        <w:jc w:val="both"/>
        <w:rPr>
          <w:rFonts w:ascii="Times New Roman" w:hAnsi="Times New Roman" w:cs="Times New Roman"/>
          <w:sz w:val="24"/>
          <w:szCs w:val="24"/>
        </w:rPr>
      </w:pPr>
    </w:p>
    <w:p w14:paraId="4DDC2E82" w14:textId="039CD4A3" w:rsidR="004629D1" w:rsidRDefault="00E84D91" w:rsidP="004629D1">
      <w:pPr>
        <w:pStyle w:val="CommentText"/>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U</w:t>
      </w:r>
      <w:r w:rsidR="004629D1">
        <w:rPr>
          <w:rFonts w:ascii="Times New Roman" w:hAnsi="Times New Roman" w:cs="Times New Roman"/>
          <w:sz w:val="24"/>
          <w:szCs w:val="24"/>
        </w:rPr>
        <w:t xml:space="preserve">nderway-ship </w:t>
      </w:r>
      <w:r w:rsidR="004629D1" w:rsidRPr="004629D1">
        <w:rPr>
          <w:rFonts w:ascii="Times New Roman" w:hAnsi="Times New Roman" w:cs="Times New Roman"/>
          <w:i/>
          <w:sz w:val="24"/>
          <w:szCs w:val="24"/>
        </w:rPr>
        <w:t>p</w:t>
      </w:r>
      <w:r w:rsidR="004629D1">
        <w:rPr>
          <w:rFonts w:ascii="Times New Roman" w:hAnsi="Times New Roman" w:cs="Times New Roman"/>
          <w:sz w:val="24"/>
          <w:szCs w:val="24"/>
        </w:rPr>
        <w:t>CO</w:t>
      </w:r>
      <w:r w:rsidR="004629D1" w:rsidRPr="004629D1">
        <w:rPr>
          <w:rFonts w:ascii="Times New Roman" w:hAnsi="Times New Roman" w:cs="Times New Roman"/>
          <w:sz w:val="24"/>
          <w:szCs w:val="24"/>
          <w:vertAlign w:val="subscript"/>
        </w:rPr>
        <w:t>2</w:t>
      </w:r>
      <w:r w:rsidR="00D84ACF" w:rsidRPr="0016290D">
        <w:rPr>
          <w:rFonts w:ascii="Times New Roman" w:hAnsi="Times New Roman" w:cs="Times New Roman"/>
          <w:sz w:val="24"/>
          <w:szCs w:val="24"/>
        </w:rPr>
        <w:t xml:space="preserve"> </w:t>
      </w:r>
      <w:r w:rsidR="004629D1">
        <w:rPr>
          <w:rFonts w:ascii="Times New Roman" w:hAnsi="Times New Roman" w:cs="Times New Roman"/>
          <w:sz w:val="24"/>
          <w:szCs w:val="24"/>
        </w:rPr>
        <w:t>observations</w:t>
      </w:r>
      <w:r w:rsidR="00054E1B">
        <w:rPr>
          <w:rFonts w:ascii="Times New Roman" w:hAnsi="Times New Roman" w:cs="Times New Roman"/>
          <w:sz w:val="24"/>
          <w:szCs w:val="24"/>
        </w:rPr>
        <w:t xml:space="preserve"> </w:t>
      </w:r>
      <w:r w:rsidR="004629D1">
        <w:rPr>
          <w:rFonts w:ascii="Times New Roman" w:hAnsi="Times New Roman" w:cs="Times New Roman"/>
          <w:sz w:val="24"/>
          <w:szCs w:val="24"/>
        </w:rPr>
        <w:t>and</w:t>
      </w:r>
      <w:r w:rsidR="001C7163">
        <w:rPr>
          <w:rFonts w:ascii="Times New Roman" w:hAnsi="Times New Roman" w:cs="Times New Roman"/>
          <w:sz w:val="24"/>
          <w:szCs w:val="24"/>
        </w:rPr>
        <w:t xml:space="preserve"> corresponding</w:t>
      </w:r>
      <w:r w:rsidR="004629D1">
        <w:rPr>
          <w:rFonts w:ascii="Times New Roman" w:hAnsi="Times New Roman" w:cs="Times New Roman"/>
          <w:sz w:val="24"/>
          <w:szCs w:val="24"/>
        </w:rPr>
        <w:t xml:space="preserve"> TA </w:t>
      </w:r>
      <w:r>
        <w:rPr>
          <w:rFonts w:ascii="Times New Roman" w:hAnsi="Times New Roman" w:cs="Times New Roman"/>
          <w:sz w:val="24"/>
          <w:szCs w:val="24"/>
        </w:rPr>
        <w:t>estimates</w:t>
      </w:r>
      <w:r w:rsidR="004629D1">
        <w:rPr>
          <w:rFonts w:ascii="Times New Roman" w:hAnsi="Times New Roman" w:cs="Times New Roman"/>
          <w:sz w:val="24"/>
          <w:szCs w:val="24"/>
        </w:rPr>
        <w:t xml:space="preserve"> </w:t>
      </w:r>
      <w:r w:rsidR="004629D1">
        <w:rPr>
          <w:rFonts w:ascii="Times New Roman" w:hAnsi="Times New Roman" w:cs="Times New Roman"/>
          <w:sz w:val="24"/>
          <w:szCs w:val="24"/>
        </w:rPr>
        <w:fldChar w:fldCharType="begin" w:fldLock="1"/>
      </w:r>
      <w:r w:rsidR="006B19BF">
        <w:rPr>
          <w:rFonts w:ascii="Times New Roman" w:hAnsi="Times New Roman" w:cs="Times New Roman"/>
          <w:sz w:val="24"/>
          <w:szCs w:val="24"/>
        </w:rPr>
        <w:instrText>ADDIN CSL_CITATION { "citationItems" : [ { "id" : "ITEM-1", "itemData" : { "DOI" : "10.1002/2015GL065194", "ISBN" : "9788578110796", "ISSN" : "00948276", "PMID" : "25246403", "abstract" : "We present a 13year (2002-2015) semimonthly time series of the partial pressure of CO&lt;inf&gt;2&lt;/inf&gt; in surface water (pCO&lt;inf&gt;2surf&lt;/inf&gt;) and other carbonate system parameters from the Drake Passage. This record shows a clear increase in the magnitude of the sea-air pCO&lt;inf&gt;2&lt;/inf&gt; gradient, indicating strengthening of the CO&lt;inf&gt;2&lt;/inf&gt; sink in agreement with recent large-scale analyses of the world oceans. The rate of increase in pCO&lt;inf&gt;2surf&lt;/inf&gt; north of the Antarctic Polar Front (APF) is similar to the atmospheric pCO&lt;inf&gt;2&lt;/inf&gt; (pCO&lt;inf&gt;2atm&lt;/inf&gt;) trend, whereas the pCO&lt;inf&gt;2surf&lt;/inf&gt; increase south of the APF is slower than the pCO&lt;inf&gt;2atm&lt;/inf&gt; trend. The high-frequency surface observations indicate that an absence of a winter increase in total CO&lt;inf&gt;2&lt;/inf&gt; (TCO&lt;inf&gt;2&lt;/inf&gt;) and cooling summer sea surface temperatures are largely responsible for increasing CO&lt;inf&gt;2&lt;/inf&gt; uptake south of the APF. Muted winter trends in surface TCO&lt;inf&gt;2&lt;/inf&gt; also provide temporary stability to the carbonate system that is already close to undersaturation with respect to aragonite.", "author" : [ { "dropping-particle" : "", "family" : "Munro", "given" : "David R", "non-dropping-particle" : "", "parse-names" : false, "suffix" : "" }, { "dropping-particle" : "", "family" : "Lovenduski", "given" : "Nicole S", "non-dropping-particle" : "", "parse-names" : false, "suffix" : "" }, { "dropping-particle" : "", "family" : "Takahashi", "given" : "Taro", "non-dropping-particle" : "", "parse-names" : false, "suffix" : "" }, { "dropping-particle" : "", "family" : "Stephens", "given" : "Britton B", "non-dropping-particle" : "", "parse-names" : false, "suffix" : "" }, { "dropping-particle" : "", "family" : "Newberger", "given" : "Timothy", "non-dropping-particle" : "", "parse-names" : false, "suffix" : "" }, { "dropping-particle" : "", "family" : "Sweeney", "given" : "Colm", "non-dropping-particle" : "", "parse-names" : false, "suffix" : "" } ], "container-title" : "Geophysical Research Letters", "id" : "ITEM-1", "issue" : "18", "issued" : { "date-parts" : [ [ "2015", "9", "28" ] ] }, "page" : "7623-7630", "title" : "Recent evidence for a strengthening CO&lt;sub&gt;2&lt;/sub&gt; sink in the Southern Ocean from carbonate system measurements in the Drake Passage (2002-2015)", "type" : "article-journal", "volume" : "42" }, "uris" : [ "http://www.mendeley.com/documents/?uuid=2196100d-35ae-4289-aadc-b1c861e69867" ] } ], "mendeley" : { "formattedCitation" : "[&lt;i&gt;Munro et al.&lt;/i&gt;, 2015]", "plainTextFormattedCitation" : "[Munro et al., 2015]", "previouslyFormattedCitation" : "[&lt;i&gt;Munro et al.&lt;/i&gt;, 2015]" }, "properties" : { "noteIndex" : 0 }, "schema" : "https://github.com/citation-style-language/schema/raw/master/csl-citation.json" }</w:instrText>
      </w:r>
      <w:r w:rsidR="004629D1">
        <w:rPr>
          <w:rFonts w:ascii="Times New Roman" w:hAnsi="Times New Roman" w:cs="Times New Roman"/>
          <w:sz w:val="24"/>
          <w:szCs w:val="24"/>
        </w:rPr>
        <w:fldChar w:fldCharType="separate"/>
      </w:r>
      <w:r w:rsidR="00544B45" w:rsidRPr="00544B45">
        <w:rPr>
          <w:rFonts w:ascii="Times New Roman" w:hAnsi="Times New Roman" w:cs="Times New Roman"/>
          <w:noProof/>
          <w:sz w:val="24"/>
          <w:szCs w:val="24"/>
        </w:rPr>
        <w:t>[</w:t>
      </w:r>
      <w:r w:rsidR="00544B45" w:rsidRPr="00544B45">
        <w:rPr>
          <w:rFonts w:ascii="Times New Roman" w:hAnsi="Times New Roman" w:cs="Times New Roman"/>
          <w:i/>
          <w:noProof/>
          <w:sz w:val="24"/>
          <w:szCs w:val="24"/>
        </w:rPr>
        <w:t>Munro et al.</w:t>
      </w:r>
      <w:r w:rsidR="00544B45" w:rsidRPr="00544B45">
        <w:rPr>
          <w:rFonts w:ascii="Times New Roman" w:hAnsi="Times New Roman" w:cs="Times New Roman"/>
          <w:noProof/>
          <w:sz w:val="24"/>
          <w:szCs w:val="24"/>
        </w:rPr>
        <w:t>, 2015]</w:t>
      </w:r>
      <w:r w:rsidR="004629D1">
        <w:rPr>
          <w:rFonts w:ascii="Times New Roman" w:hAnsi="Times New Roman" w:cs="Times New Roman"/>
          <w:sz w:val="24"/>
          <w:szCs w:val="24"/>
        </w:rPr>
        <w:fldChar w:fldCharType="end"/>
      </w:r>
      <w:r w:rsidR="00D84ACF" w:rsidRPr="0016290D">
        <w:rPr>
          <w:rFonts w:ascii="Times New Roman" w:hAnsi="Times New Roman" w:cs="Times New Roman"/>
          <w:sz w:val="24"/>
          <w:szCs w:val="24"/>
        </w:rPr>
        <w:t xml:space="preserve"> </w:t>
      </w:r>
      <w:r w:rsidR="00E935F9">
        <w:rPr>
          <w:rFonts w:ascii="Times New Roman" w:hAnsi="Times New Roman" w:cs="Times New Roman"/>
          <w:sz w:val="24"/>
          <w:szCs w:val="24"/>
        </w:rPr>
        <w:t>from 2002 to 201</w:t>
      </w:r>
      <w:r w:rsidR="00E01E60">
        <w:rPr>
          <w:rFonts w:ascii="Times New Roman" w:hAnsi="Times New Roman" w:cs="Times New Roman"/>
          <w:sz w:val="24"/>
          <w:szCs w:val="24"/>
        </w:rPr>
        <w:t>5</w:t>
      </w:r>
      <w:r w:rsidR="00E935F9">
        <w:rPr>
          <w:rFonts w:ascii="Times New Roman" w:hAnsi="Times New Roman" w:cs="Times New Roman"/>
          <w:sz w:val="24"/>
          <w:szCs w:val="24"/>
        </w:rPr>
        <w:t xml:space="preserve"> collected from two regions in the</w:t>
      </w:r>
      <w:r>
        <w:rPr>
          <w:rFonts w:ascii="Times New Roman" w:hAnsi="Times New Roman" w:cs="Times New Roman"/>
          <w:sz w:val="24"/>
          <w:szCs w:val="24"/>
        </w:rPr>
        <w:t xml:space="preserve"> Southern Ocean </w:t>
      </w:r>
      <w:r w:rsidR="00E935F9">
        <w:rPr>
          <w:rFonts w:ascii="Times New Roman" w:hAnsi="Times New Roman" w:cs="Times New Roman"/>
          <w:sz w:val="24"/>
          <w:szCs w:val="24"/>
        </w:rPr>
        <w:t xml:space="preserve">(SO; </w:t>
      </w:r>
      <w:r w:rsidR="00E935F9" w:rsidRPr="000041BA">
        <w:rPr>
          <w:rFonts w:ascii="Tmes new" w:eastAsia="Times New Roman" w:hAnsi="Tmes new"/>
          <w:color w:val="000000"/>
          <w:sz w:val="22"/>
          <w:szCs w:val="22"/>
        </w:rPr>
        <w:t>57°S</w:t>
      </w:r>
      <w:r w:rsidR="00E935F9">
        <w:rPr>
          <w:rFonts w:ascii="Tmes new" w:eastAsia="Times New Roman" w:hAnsi="Tmes new"/>
          <w:color w:val="000000"/>
          <w:sz w:val="22"/>
          <w:szCs w:val="22"/>
        </w:rPr>
        <w:t xml:space="preserve">, </w:t>
      </w:r>
      <w:r w:rsidR="00E935F9" w:rsidRPr="000041BA">
        <w:rPr>
          <w:rFonts w:ascii="Tmes new" w:eastAsia="Times New Roman" w:hAnsi="Tmes new"/>
          <w:color w:val="000000"/>
          <w:sz w:val="22"/>
          <w:szCs w:val="22"/>
        </w:rPr>
        <w:t>64°W</w:t>
      </w:r>
      <w:r w:rsidR="00E935F9">
        <w:rPr>
          <w:rFonts w:ascii="Tmes new" w:eastAsia="Times New Roman" w:hAnsi="Tmes new"/>
          <w:color w:val="000000"/>
          <w:sz w:val="22"/>
          <w:szCs w:val="22"/>
        </w:rPr>
        <w:t xml:space="preserve"> and </w:t>
      </w:r>
      <w:r w:rsidR="00E935F9" w:rsidRPr="000041BA">
        <w:rPr>
          <w:rFonts w:ascii="Tmes new" w:eastAsia="Times New Roman" w:hAnsi="Tmes new"/>
          <w:color w:val="000000"/>
          <w:sz w:val="22"/>
          <w:szCs w:val="22"/>
        </w:rPr>
        <w:t>61.5°S</w:t>
      </w:r>
      <w:r w:rsidR="00E935F9">
        <w:rPr>
          <w:rFonts w:ascii="Tmes new" w:eastAsia="Times New Roman" w:hAnsi="Tmes new"/>
          <w:color w:val="000000"/>
          <w:sz w:val="22"/>
          <w:szCs w:val="22"/>
        </w:rPr>
        <w:t>,</w:t>
      </w:r>
      <w:r w:rsidR="00E935F9" w:rsidRPr="00E935F9">
        <w:rPr>
          <w:rFonts w:ascii="Tmes new" w:eastAsia="Times New Roman" w:hAnsi="Tmes new"/>
          <w:color w:val="000000"/>
          <w:sz w:val="22"/>
          <w:szCs w:val="22"/>
        </w:rPr>
        <w:t xml:space="preserve"> </w:t>
      </w:r>
      <w:r w:rsidR="00E935F9" w:rsidRPr="000041BA">
        <w:rPr>
          <w:rFonts w:ascii="Tmes new" w:eastAsia="Times New Roman" w:hAnsi="Tmes new"/>
          <w:color w:val="000000"/>
          <w:sz w:val="22"/>
          <w:szCs w:val="22"/>
        </w:rPr>
        <w:t>62°W</w:t>
      </w:r>
      <w:r w:rsidR="00E935F9">
        <w:rPr>
          <w:rFonts w:ascii="Times New Roman" w:hAnsi="Times New Roman" w:cs="Times New Roman"/>
          <w:sz w:val="24"/>
          <w:szCs w:val="24"/>
        </w:rPr>
        <w:t>)</w:t>
      </w:r>
      <w:r w:rsidR="00560357">
        <w:rPr>
          <w:rFonts w:ascii="Times New Roman" w:hAnsi="Times New Roman" w:cs="Times New Roman"/>
          <w:sz w:val="24"/>
          <w:szCs w:val="24"/>
        </w:rPr>
        <w:t>,</w:t>
      </w:r>
      <w:r w:rsidR="00E935F9">
        <w:rPr>
          <w:rFonts w:ascii="Times New Roman" w:hAnsi="Times New Roman" w:cs="Times New Roman"/>
          <w:sz w:val="24"/>
          <w:szCs w:val="24"/>
        </w:rPr>
        <w:t xml:space="preserve"> north and south of the Antarctic Polar Front in</w:t>
      </w:r>
      <w:r>
        <w:rPr>
          <w:rFonts w:ascii="Times New Roman" w:hAnsi="Times New Roman" w:cs="Times New Roman"/>
          <w:sz w:val="24"/>
          <w:szCs w:val="24"/>
        </w:rPr>
        <w:t xml:space="preserve"> </w:t>
      </w:r>
      <w:r w:rsidRPr="0016290D">
        <w:rPr>
          <w:rFonts w:ascii="Times New Roman" w:hAnsi="Times New Roman" w:cs="Times New Roman"/>
          <w:sz w:val="24"/>
          <w:szCs w:val="24"/>
        </w:rPr>
        <w:t>Drake Passage</w:t>
      </w:r>
      <w:r w:rsidR="00560357">
        <w:rPr>
          <w:rFonts w:ascii="Times New Roman" w:hAnsi="Times New Roman" w:cs="Times New Roman"/>
          <w:sz w:val="24"/>
          <w:szCs w:val="24"/>
        </w:rPr>
        <w:t>,</w:t>
      </w:r>
      <w:r w:rsidR="00E935F9">
        <w:rPr>
          <w:rFonts w:ascii="Times New Roman" w:hAnsi="Times New Roman" w:cs="Times New Roman"/>
          <w:sz w:val="24"/>
          <w:szCs w:val="24"/>
        </w:rPr>
        <w:t xml:space="preserve"> </w:t>
      </w:r>
      <w:r w:rsidR="004629D1">
        <w:rPr>
          <w:rFonts w:ascii="Times New Roman" w:hAnsi="Times New Roman" w:cs="Times New Roman"/>
          <w:sz w:val="24"/>
          <w:szCs w:val="24"/>
        </w:rPr>
        <w:t xml:space="preserve">were used to calculate other </w:t>
      </w:r>
      <w:r w:rsidR="00A16AD3">
        <w:rPr>
          <w:rFonts w:ascii="Times New Roman" w:hAnsi="Times New Roman" w:cs="Times New Roman"/>
          <w:sz w:val="24"/>
          <w:szCs w:val="24"/>
        </w:rPr>
        <w:t>parameters</w:t>
      </w:r>
      <w:r w:rsidR="004629D1">
        <w:rPr>
          <w:rFonts w:ascii="Times New Roman" w:hAnsi="Times New Roman" w:cs="Times New Roman"/>
          <w:sz w:val="24"/>
          <w:szCs w:val="24"/>
        </w:rPr>
        <w:t xml:space="preserve"> of </w:t>
      </w:r>
      <w:r w:rsidR="00A16AD3">
        <w:rPr>
          <w:rFonts w:ascii="Times New Roman" w:hAnsi="Times New Roman" w:cs="Times New Roman"/>
          <w:sz w:val="24"/>
          <w:szCs w:val="24"/>
        </w:rPr>
        <w:t xml:space="preserve">interest. </w:t>
      </w:r>
      <w:r w:rsidR="00E935F9">
        <w:rPr>
          <w:rFonts w:ascii="Times New Roman" w:hAnsi="Times New Roman" w:cs="Times New Roman"/>
          <w:sz w:val="24"/>
          <w:szCs w:val="24"/>
        </w:rPr>
        <w:t xml:space="preserve">These regions correspond to Region 1 and Region 4 in </w:t>
      </w:r>
      <w:r w:rsidR="00E935F9">
        <w:rPr>
          <w:rFonts w:ascii="Times New Roman" w:hAnsi="Times New Roman" w:cs="Times New Roman"/>
          <w:sz w:val="24"/>
          <w:szCs w:val="24"/>
        </w:rPr>
        <w:fldChar w:fldCharType="begin" w:fldLock="1"/>
      </w:r>
      <w:r w:rsidR="006B19BF">
        <w:rPr>
          <w:rFonts w:ascii="Times New Roman" w:hAnsi="Times New Roman" w:cs="Times New Roman"/>
          <w:sz w:val="24"/>
          <w:szCs w:val="24"/>
        </w:rPr>
        <w:instrText>ADDIN CSL_CITATION { "citationItems" : [ { "id" : "ITEM-1", "itemData" : { "DOI" : "10.1002/2015GL065194", "ISBN" : "9788578110796", "ISSN" : "00948276", "PMID" : "25246403", "abstract" : "We present a 13year (2002-2015) semimonthly time series of the partial pressure of CO&lt;inf&gt;2&lt;/inf&gt; in surface water (pCO&lt;inf&gt;2surf&lt;/inf&gt;) and other carbonate system parameters from the Drake Passage. This record shows a clear increase in the magnitude of the sea-air pCO&lt;inf&gt;2&lt;/inf&gt; gradient, indicating strengthening of the CO&lt;inf&gt;2&lt;/inf&gt; sink in agreement with recent large-scale analyses of the world oceans. The rate of increase in pCO&lt;inf&gt;2surf&lt;/inf&gt; north of the Antarctic Polar Front (APF) is similar to the atmospheric pCO&lt;inf&gt;2&lt;/inf&gt; (pCO&lt;inf&gt;2atm&lt;/inf&gt;) trend, whereas the pCO&lt;inf&gt;2surf&lt;/inf&gt; increase south of the APF is slower than the pCO&lt;inf&gt;2atm&lt;/inf&gt; trend. The high-frequency surface observations indicate that an absence of a winter increase in total CO&lt;inf&gt;2&lt;/inf&gt; (TCO&lt;inf&gt;2&lt;/inf&gt;) and cooling summer sea surface temperatures are largely responsible for increasing CO&lt;inf&gt;2&lt;/inf&gt; uptake south of the APF. Muted winter trends in surface TCO&lt;inf&gt;2&lt;/inf&gt; also provide temporary stability to the carbonate system that is already close to undersaturation with respect to aragonite.", "author" : [ { "dropping-particle" : "", "family" : "Munro", "given" : "David R", "non-dropping-particle" : "", "parse-names" : false, "suffix" : "" }, { "dropping-particle" : "", "family" : "Lovenduski", "given" : "Nicole S", "non-dropping-particle" : "", "parse-names" : false, "suffix" : "" }, { "dropping-particle" : "", "family" : "Takahashi", "given" : "Taro", "non-dropping-particle" : "", "parse-names" : false, "suffix" : "" }, { "dropping-particle" : "", "family" : "Stephens", "given" : "Britton B", "non-dropping-particle" : "", "parse-names" : false, "suffix" : "" }, { "dropping-particle" : "", "family" : "Newberger", "given" : "Timothy", "non-dropping-particle" : "", "parse-names" : false, "suffix" : "" }, { "dropping-particle" : "", "family" : "Sweeney", "given" : "Colm", "non-dropping-particle" : "", "parse-names" : false, "suffix" : "" } ], "container-title" : "Geophysical Research Letters", "id" : "ITEM-1", "issue" : "18", "issued" : { "date-parts" : [ [ "2015", "9", "28" ] ] }, "page" : "7623-7630", "title" : "Recent evidence for a strengthening CO&lt;sub&gt;2&lt;/sub&gt; sink in the Southern Ocean from carbonate system measurements in the Drake Passage (2002-2015)", "type" : "article-journal", "volume" : "42" }, "uris" : [ "http://www.mendeley.com/documents/?uuid=2196100d-35ae-4289-aadc-b1c861e69867" ] } ], "mendeley" : { "formattedCitation" : "[&lt;i&gt;Munro et al.&lt;/i&gt;, 2015]", "manualFormatting" : "Munro et al., [2015]", "plainTextFormattedCitation" : "[Munro et al., 2015]", "previouslyFormattedCitation" : "[&lt;i&gt;Munro et al.&lt;/i&gt;, 2015]" }, "properties" : { "noteIndex" : 0 }, "schema" : "https://github.com/citation-style-language/schema/raw/master/csl-citation.json" }</w:instrText>
      </w:r>
      <w:r w:rsidR="00E935F9">
        <w:rPr>
          <w:rFonts w:ascii="Times New Roman" w:hAnsi="Times New Roman" w:cs="Times New Roman"/>
          <w:sz w:val="24"/>
          <w:szCs w:val="24"/>
        </w:rPr>
        <w:fldChar w:fldCharType="separate"/>
      </w:r>
      <w:r w:rsidR="00E935F9" w:rsidRPr="004629D1">
        <w:rPr>
          <w:rFonts w:ascii="Times New Roman" w:hAnsi="Times New Roman" w:cs="Times New Roman"/>
          <w:i/>
          <w:noProof/>
          <w:sz w:val="24"/>
          <w:szCs w:val="24"/>
        </w:rPr>
        <w:t>Munro et al.</w:t>
      </w:r>
      <w:r w:rsidR="00E935F9" w:rsidRPr="004629D1">
        <w:rPr>
          <w:rFonts w:ascii="Times New Roman" w:hAnsi="Times New Roman" w:cs="Times New Roman"/>
          <w:noProof/>
          <w:sz w:val="24"/>
          <w:szCs w:val="24"/>
        </w:rPr>
        <w:t xml:space="preserve"> </w:t>
      </w:r>
      <w:r w:rsidR="00E935F9">
        <w:rPr>
          <w:rFonts w:ascii="Times New Roman" w:hAnsi="Times New Roman" w:cs="Times New Roman"/>
          <w:noProof/>
          <w:sz w:val="24"/>
          <w:szCs w:val="24"/>
        </w:rPr>
        <w:t>[</w:t>
      </w:r>
      <w:r w:rsidR="00E935F9" w:rsidRPr="004629D1">
        <w:rPr>
          <w:rFonts w:ascii="Times New Roman" w:hAnsi="Times New Roman" w:cs="Times New Roman"/>
          <w:noProof/>
          <w:sz w:val="24"/>
          <w:szCs w:val="24"/>
        </w:rPr>
        <w:t>2015]</w:t>
      </w:r>
      <w:r w:rsidR="00E935F9">
        <w:rPr>
          <w:rFonts w:ascii="Times New Roman" w:hAnsi="Times New Roman" w:cs="Times New Roman"/>
          <w:sz w:val="24"/>
          <w:szCs w:val="24"/>
        </w:rPr>
        <w:fldChar w:fldCharType="end"/>
      </w:r>
      <w:r w:rsidR="00E935F9">
        <w:rPr>
          <w:rFonts w:ascii="Times New Roman" w:hAnsi="Times New Roman" w:cs="Times New Roman"/>
          <w:sz w:val="24"/>
          <w:szCs w:val="24"/>
        </w:rPr>
        <w:t>. D</w:t>
      </w:r>
      <w:r w:rsidR="00A16AD3">
        <w:rPr>
          <w:rFonts w:ascii="Times New Roman" w:hAnsi="Times New Roman" w:cs="Times New Roman"/>
          <w:sz w:val="24"/>
          <w:szCs w:val="24"/>
        </w:rPr>
        <w:t>ata were averaged by month and then across years to calculate the month</w:t>
      </w:r>
      <w:r w:rsidR="00054E1B">
        <w:rPr>
          <w:rFonts w:ascii="Times New Roman" w:hAnsi="Times New Roman" w:cs="Times New Roman"/>
          <w:sz w:val="24"/>
          <w:szCs w:val="24"/>
        </w:rPr>
        <w:t xml:space="preserve">ly climatologies </w:t>
      </w:r>
      <w:r w:rsidR="00560357">
        <w:rPr>
          <w:rFonts w:ascii="Times New Roman" w:hAnsi="Times New Roman" w:cs="Times New Roman"/>
          <w:sz w:val="24"/>
          <w:szCs w:val="24"/>
        </w:rPr>
        <w:t>and t</w:t>
      </w:r>
      <w:r w:rsidR="00054E1B">
        <w:rPr>
          <w:rFonts w:ascii="Times New Roman" w:hAnsi="Times New Roman" w:cs="Times New Roman"/>
          <w:sz w:val="24"/>
          <w:szCs w:val="24"/>
        </w:rPr>
        <w:t>rends were not removed.</w:t>
      </w:r>
    </w:p>
    <w:p w14:paraId="53BB8EB4" w14:textId="77777777" w:rsidR="002B6ECB" w:rsidRPr="005862AB" w:rsidRDefault="002B6ECB" w:rsidP="002B6ECB">
      <w:pPr>
        <w:spacing w:line="360" w:lineRule="auto"/>
        <w:ind w:firstLine="360"/>
        <w:jc w:val="both"/>
      </w:pPr>
    </w:p>
    <w:p w14:paraId="5D5E7C4C" w14:textId="3296322E" w:rsidR="002B6ECB" w:rsidRDefault="002B6ECB" w:rsidP="002B6ECB">
      <w:pPr>
        <w:widowControl w:val="0"/>
        <w:autoSpaceDE w:val="0"/>
        <w:autoSpaceDN w:val="0"/>
        <w:adjustRightInd w:val="0"/>
        <w:contextualSpacing/>
        <w:jc w:val="both"/>
        <w:rPr>
          <w:color w:val="228B22"/>
        </w:rPr>
      </w:pPr>
      <w:r w:rsidRPr="0033642F">
        <w:rPr>
          <w:b/>
        </w:rPr>
        <w:t>Table S</w:t>
      </w:r>
      <w:r>
        <w:rPr>
          <w:b/>
        </w:rPr>
        <w:t>1</w:t>
      </w:r>
      <w:r w:rsidRPr="0033642F">
        <w:t>.</w:t>
      </w:r>
      <w:r>
        <w:t xml:space="preserve"> Start and end years of </w:t>
      </w:r>
      <w:r w:rsidRPr="00C579C0">
        <w:t xml:space="preserve">El Niño </w:t>
      </w:r>
      <w:r w:rsidRPr="0033642F">
        <w:t xml:space="preserve">events </w:t>
      </w:r>
      <w:r>
        <w:t xml:space="preserve">that were </w:t>
      </w:r>
      <w:r w:rsidRPr="0033642F">
        <w:t>removed from the SOCAT</w:t>
      </w:r>
      <w:r>
        <w:t>-</w:t>
      </w:r>
      <w:r w:rsidRPr="0033642F">
        <w:t xml:space="preserve">V4 databased between </w:t>
      </w:r>
      <w:r w:rsidRPr="000A5287">
        <w:t>6°N and 6°S</w:t>
      </w:r>
      <w:r w:rsidRPr="00C579C0">
        <w:t xml:space="preserve"> </w:t>
      </w:r>
      <w:r>
        <w:t>and 130</w:t>
      </w:r>
      <w:r w:rsidRPr="00C579C0">
        <w:t>°</w:t>
      </w:r>
      <w:r>
        <w:t>E and 80</w:t>
      </w:r>
      <w:r w:rsidRPr="00C579C0">
        <w:t>°</w:t>
      </w:r>
      <w:r>
        <w:t xml:space="preserve">W </w:t>
      </w:r>
      <w:r w:rsidRPr="00C579C0">
        <w:t xml:space="preserve">following </w:t>
      </w:r>
      <w:r>
        <w:t xml:space="preserve">the approach of </w:t>
      </w:r>
      <w:r>
        <w:fldChar w:fldCharType="begin" w:fldLock="1"/>
      </w:r>
      <w:r w:rsidR="006B19BF">
        <w:instrText>ADDIN CSL_CITATION { "citationItems" : [ { "id" : "ITEM-1", "itemData" : { "DOI" : "10.1016/j.dsr2.2008.12.009", "ISBN" : "0967-0645", "ISSN" : "09670645", "abstract" : "A climatological mean distribution for the surface water pCO2 over the global oceans in non-El Ni\u00f1o conditions has been constructed with spatial resolution of 4\u00b0 (latitude) \u00d75\u00b0 (longitude) for a reference year 2000 based upon about 3 million measurements of surface water pCO2 obtained from 1970 to 2007. The database used for this study is about 3 times larger than the 0.94 million used for our earlier paper [Takahashi et al., 2002. Global sea-air CO2 flux based on climatological surface ocean pCO2, and seasonal biological and temperature effects. Deep-Sea Res. II, 49, 1601-1622]. A time-trend analysis using deseasonalized surface water pCO2 data in portions of the North Atlantic, North and South Pacific and Southern Oceans (which cover about 27% of the global ocean areas) indicates that the surface water pCO2 over these oceanic areas has increased on average at a mean rate of 1.5 \u03bcatm y-1 with basin-specific rates varying between 1.2\u00b10.5 and 2.1\u00b10.4 \u03bcatm y-1. A global ocean database for a single reference year 2000 is assembled using this mean rate for correcting observations made in different years to the reference year. The observations made during El Ni\u00f1o periods in the equatorial Pacific and those made in coastal zones are excluded from the database. Seasonal changes in the surface water pCO2 and the sea-air pCO2 difference over four climatic zones in the Atlantic, Pacific, Indian and Southern Oceans are presented. Over the Southern Ocean seasonal ice zone, the seasonality is complex. Although it cannot be thoroughly documented due to the limited extent of observations, seasonal changes in pCO2 are approximated by using the data for under-ice waters during austral winter and those for the marginal ice and ice-free zones. The net air-sea CO2 flux is estimated using the sea-air pCO2 difference and the air-sea gas transfer rate that is parameterized as a function of (wind speed)2 with a scaling factor of 0.26. This is estimated by inverting the bomb 14C data using Ocean General Circulation models and the 1979-2005 NCEP-DOE AMIP-II Reanalysis (R-2) wind speed data. The equatorial Pacific (14\u00b0N-14\u00b0S) is the major source for atmospheric CO2, emitting about +0.48 Pg-C y-1, and the temperate oceans between 14\u00b0 and 50\u00b0 in the both hemispheres are the major sink zones with an uptake flux of -0.70 Pg-C y-1 for the northern and -1.05 Pg-C y-1 for the southern zone. The high-latitude North Atlantic, including the Nordic Seas and portion of the Arctic Sea, is the\u2026", "author" : [ { "dropping-particle" : "", "family" : "Takahashi", "given" : "T.", "non-dropping-particle" : "", "parse-names" : false, "suffix" : "" }, { "dropping-particle" : "", "family" : "Sutherland", "given" : "S. C.", "non-dropping-particle" : "", "parse-names" : false, "suffix" : "" }, { "dropping-particle" : "", "family" : "Wanninkhof", "given" : "R.", "non-dropping-particle" : "", "parse-names" : false, "suffix" : "" }, { "dropping-particle" : "", "family" : "Sweeney", "given" : "C.", "non-dropping-particle" : "", "parse-names" : false, "suffix" : "" }, { "dropping-particle" : "", "family" : "Feely", "given" : "R.A.", "non-dropping-particle" : "", "parse-names" : false, "suffix" : "" }, { "dropping-particle" : "", "family" : "Chipman", "given" : "D. W", "non-dropping-particle" : "", "parse-names" : false, "suffix" : "" }, { "dropping-particle" : "", "family" : "Hales", "given" : "B.", "non-dropping-particle" : "", "parse-names" : false, "suffix" : "" }, { "dropping-particle" : "", "family" : "Friederich", "given" : "G.", "non-dropping-particle" : "", "parse-names" : false, "suffix" : "" }, { "dropping-particle" : "", "family" : "Chavez", "given" : "F. P.", "non-dropping-particle" : "", "parse-names" : false, "suffix" : "" }, { "dropping-particle" : "", "family" : "Sabine", "given" : "C. L.", "non-dropping-particle" : "", "parse-names" : false, "suffix" : "" }, { "dropping-particle" : "", "family" : "Watson", "given" : "A.J.", "non-dropping-particle" : "", "parse-names" : false, "suffix" : "" }, { "dropping-particle" : "", "family" : "Bakker", "given" : "D. C. E.", "non-dropping-particle" : "", "parse-names" : false, "suffix" : "" }, { "dropping-particle" : "", "family" : "Schuster", "given" : "Ute", "non-dropping-particle" : "", "parse-names" : false, "suffix" : "" }, { "dropping-particle" : "", "family" : "Metzl", "given" : "Nicolas", "non-dropping-particle" : "", "parse-names" : false, "suffix" : "" }, { "dropping-particle" : "", "family" : "Yoshikawa-Inoue", "given" : "H.", "non-dropping-particle" : "", "parse-names" : false, "suffix" : "" }, { "dropping-particle" : "", "family" : "Ishii", "given" : "Masao", "non-dropping-particle" : "", "parse-names" : false, "suffix" : "" }, { "dropping-particle" : "", "family" : "Midorikawa", "given" : "Takashi", "non-dropping-particle" : "", "parse-names" : false, "suffix" : "" }, { "dropping-particle" : "", "family" : "Nojiri", "given" : "Yukihiro", "non-dropping-particle" : "", "parse-names" : false, "suffix" : "" }, { "dropping-particle" : "", "family" : "K\u00f6rtzinger", "given" : "Arne", "non-dropping-particle" : "", "parse-names" : false, "suffix" : "" }, { "dropping-particle" : "", "family" : "Steinhoff", "given" : "Tobias", "non-dropping-particle" : "", "parse-names" : false, "suffix" : "" }, { "dropping-particle" : "", "family" : "Hoppema", "given" : "Mario", "non-dropping-particle" : "", "parse-names" : false, "suffix" : "" }, { "dropping-particle" : "", "family" : "Olafsson", "given" : "Jon", "non-dropping-particle" : "", "parse-names" : false, "suffix" : "" }, { "dropping-particle" : "", "family" : "Arnarson", "given" : "Thorarinn S.", "non-dropping-particle" : "", "parse-names" : false, "suffix" : "" }, { "dropping-particle" : "", "family" : "Tilbrook", "given" : "Bronte", "non-dropping-particle" : "", "parse-names" : false, "suffix" : "" }, { "dropping-particle" : "", "family" : "Johannessen", "given" : "Truls", "non-dropping-particle" : "", "parse-names" : false, "suffix" : "" }, { "dropping-particle" : "", "family" : "Olsen", "given" : "Are", "non-dropping-particle" : "", "parse-names" : false, "suffix" : "" }, { "dropping-particle" : "", "family" : "Bellerby", "given" : "Richard", "non-dropping-particle" : "", "parse-names" : false, "suffix" : "" }, { "dropping-particle" : "", "family" : "Wong", "given" : "C. S.", "non-dropping-particle" : "", "parse-names" : false, "suffix" : "" }, { "dropping-particle" : "", "family" : "Delille", "given" : "Bruno", "non-dropping-particle" : "", "parse-names" : false, "suffix" : "" }, { "dropping-particle" : "", "family" : "Bates", "given" : "N.R.", "non-dropping-particle" : "", "parse-names" : false, "suffix" : "" }, { "dropping-particle" : "", "family" : "Baar", "given" : "Hein J W", "non-dropping-particle" : "de", "parse-names" : false, "suffix" : "" } ], "container-title" : "Deep-Sea Research II", "id" : "ITEM-1", "issue" : "8-10", "issued" : { "date-parts" : [ [ "2009", "4" ] ] }, "note" : "-Equatorial pacific emits ~0.5 PgC/yr\n-temperate regions between 14 and 50 degrees in both hemispheres take up 0.7 PgC/yr for the nroth and 1 PgC/yr for the south\n-North atlantic is most intense sink\n-annual mean ocean co2 uptake over global oceans is 1.6 +/- 0.9 PgC/yr\n-including the pre industrial steady-state ocean source of CO2 of 0.2 PgC/yr, this means the total ocean uptake flux including anthropogenic Co2 is 2 PgC/yr in 2000", "page" : "554-577", "title" : "Climatological mean and decadal change in surface ocean &lt;i&gt;p&lt;/i&gt;CO&lt;sub&gt;2&lt;/sub&gt;, and net sea-air CO&lt;sub&gt;2&lt;/sub&gt;, flux over the global oceans", "type" : "article-journal", "volume" : "56" }, "uris" : [ "http://www.mendeley.com/documents/?uuid=c6c7aaca-eeba-4f3b-8220-bb47974dea79" ] }, { "id" : "ITEM-2", "itemData" : { "DOI" : "10.1016/j.marchem.2014.06.004", "ISSN" : "03044203", "abstract" : "Climatological mean monthly distributions of pH in the total H+ scale, total CO2 concentration (TCO2), and the degree of CaCO3 saturation for the global surface ocean waters (excluding coastal areas) are calculated using a data set for pCO2, alkalinity and nutrient concentrations in surface waters (depths &lt;50m), which is built upon the GLODAP, CARINA and LDEO databases. The mutual consistency among these measured parameters is demonstrated using the inorganic carbon chemistry model with the dissociation constants for carbonic acid by Lueker et al. (2000) and for boric acid by Dickson (1990). Linear potential alkalinity-salinity relationships are established for 24 regions of the global ocean. The mean monthly distributions of pH and carbon chemistry parameters for the reference year 2005 are computed using the climatological mean monthly pCO2 data adjusted to a reference year 2005 and the alkalinity estimated from the potential alkalinity-salinity relationships. The equatorial zone (4\u00b0N-4\u00b0S) of the Pacific is excluded from the analysis because of the large interannual changes associated with ENSO events. The pH thus calculated ranges from 7.9 to 8.2. Lower values are located in the upwelling regions in the tropical Pacific and in the Arabian and Bering Seas; higher values are found in the subpolar and polar waters during the spring-summer months of intense photosynthetic production. The vast areas of subtropical oceans have seasonally varying pH values ranging from 8.05 during warmer months to 8.15 during colder months. The warm tropical and subtropical waters are supersaturated by a factor of as much as 4.2 with respect to aragonite and 6.3 for calcite, whereas the cold subpolar and polar waters are supersaturated by 1.2 for aragonite and 2.0 for calcite because of the lower pH values resulting from greater TCO2 concentrations. In the western Arctic Ocean, aragonite undersaturation is observed. The time-series data from the Bermuda (BATS), Hawaii (HOT), Canary (ESTOC) and the Drake Passage show that pH has been declining at a mean rate of about -0.02 pH per decade, and that pCO2 has been increasing at about 19 \u03bcatm per decade tracking the atmospheric pCO2 increase rate. This suggests that the ocean acidification is caused primarily by the uptake of atmospheric CO2. The relative importance of the four environmental drivers (temperature, salinity, alkalinity and total CO2 concentration) controlling the seasonal variability of carbonate chemistry at these\u2026", "author" : [ { "dropping-particle" : "", "family" : "Takahashi", "given" : "T.", "non-dropping-particle" : "", "parse-names" : false, "suffix" : "" }, { "dropping-particle" : "", "family" : "Sutherland", "given" : "S. C.", "non-dropping-particle" : "", "parse-names" : false, "suffix" : "" }, { "dropping-particle" : "", "family" : "Chipman", "given" : "D. W.", "non-dropping-particle" : "", "parse-names" : false, "suffix" : "" }, { "dropping-particle" : "", "family" : "Goddard", "given" : "J. G.", "non-dropping-particle" : "", "parse-names" : false, "suffix" : "" }, { "dropping-particle" : "", "family" : "Ho", "given" : "C.", "non-dropping-particle" : "", "parse-names" : false, "suffix" : "" } ], "container-title" : "Marine Chemistry", "id" : "ITEM-2", "issued" : { "date-parts" : [ [ "2014" ] ] }, "note" : "- Lee et al 2006 and Millero et al 1998 only used SSS and SST to regress with TA. Takahashi is also including nitrate data\n\n-subropical oceans show high pH in cold months and lower pH in warm months, due to thermodynamics. the high nutrient subpolar regions show the opposite, with low values in winter due to upwelling of deeper more acidic water and high values in summer due to primary production (and Revelle!)\n\n-salinity changes are causing TA and DIC to change but the addition of DIC changes caused by ocean CO2 uptake are exagerating the different rates of change in TA an DIC. As the DIC/TA continues to change, so will the equilibrium distribution of CO2.\n\n-NCP and physical process changes are not yet being considered as drivers of DIC change since DIC change can be explained by CO2 increase and salinity changes.", "page" : "95-125", "title" : "Climatological distributions of pH, &lt;i&gt;p&lt;/i&gt;CO&lt;sub&gt;2&lt;/sub&gt;, total CO&lt;sub&gt;2&lt;/sub&gt;, alkalinity, and CaCO&lt;sub&gt;3&lt;/sub&gt; saturation in the global surface ocean, and temporal changes at selected locations", "type" : "article-journal", "volume" : "164" }, "uris" : [ "http://www.mendeley.com/documents/?uuid=4aa1f1d2-99a5-4ed1-8cde-08941d1c229d" ] } ], "mendeley" : { "formattedCitation" : "[&lt;i&gt;Takahashi et al.&lt;/i&gt;, 2009, 2014]", "manualFormatting" : "Takahashi et al., [2009, 2014]", "plainTextFormattedCitation" : "[Takahashi et al., 2009, 2014]", "previouslyFormattedCitation" : "[&lt;i&gt;Takahashi et al.&lt;/i&gt;, 2009, 2014]" }, "properties" : { "noteIndex" : 0 }, "schema" : "https://github.com/citation-style-language/schema/raw/master/csl-citation.json" }</w:instrText>
      </w:r>
      <w:r>
        <w:fldChar w:fldCharType="separate"/>
      </w:r>
      <w:r w:rsidRPr="000611B7">
        <w:rPr>
          <w:i/>
          <w:noProof/>
        </w:rPr>
        <w:t>Takahashi et al.</w:t>
      </w:r>
      <w:r w:rsidRPr="000611B7">
        <w:rPr>
          <w:noProof/>
        </w:rPr>
        <w:t xml:space="preserve"> </w:t>
      </w:r>
      <w:r>
        <w:rPr>
          <w:noProof/>
        </w:rPr>
        <w:t>[</w:t>
      </w:r>
      <w:r w:rsidRPr="000611B7">
        <w:rPr>
          <w:noProof/>
        </w:rPr>
        <w:t>2009, 2014]</w:t>
      </w:r>
      <w:r>
        <w:fldChar w:fldCharType="end"/>
      </w:r>
      <w:r>
        <w:t xml:space="preserve"> and using information from the NOAA Earth System Research Laboratory web page (</w:t>
      </w:r>
      <w:r w:rsidRPr="005A59C0">
        <w:t>https://www.esrl.noaa.gov/psd/enso/past_events.html</w:t>
      </w:r>
      <w:r>
        <w:t>).</w:t>
      </w:r>
    </w:p>
    <w:p w14:paraId="0CD35D28" w14:textId="77777777" w:rsidR="002B6ECB" w:rsidRDefault="002B6ECB" w:rsidP="002B6ECB">
      <w:pPr>
        <w:widowControl w:val="0"/>
        <w:autoSpaceDE w:val="0"/>
        <w:autoSpaceDN w:val="0"/>
        <w:adjustRightInd w:val="0"/>
        <w:contextualSpacing/>
        <w:jc w:val="both"/>
        <w:rPr>
          <w:color w:val="228B22"/>
        </w:rPr>
      </w:pPr>
    </w:p>
    <w:tbl>
      <w:tblPr>
        <w:tblW w:w="0" w:type="auto"/>
        <w:tblLook w:val="04A0" w:firstRow="1" w:lastRow="0" w:firstColumn="1" w:lastColumn="0" w:noHBand="0" w:noVBand="1"/>
      </w:tblPr>
      <w:tblGrid>
        <w:gridCol w:w="693"/>
        <w:gridCol w:w="656"/>
      </w:tblGrid>
      <w:tr w:rsidR="002B6ECB" w:rsidRPr="006F328E" w14:paraId="78DEE82C" w14:textId="77777777" w:rsidTr="00BA2145">
        <w:trPr>
          <w:trHeight w:val="340"/>
        </w:trPr>
        <w:tc>
          <w:tcPr>
            <w:tcW w:w="0" w:type="auto"/>
            <w:tcBorders>
              <w:top w:val="single" w:sz="8" w:space="0" w:color="auto"/>
              <w:left w:val="nil"/>
              <w:bottom w:val="single" w:sz="8" w:space="0" w:color="auto"/>
              <w:right w:val="nil"/>
            </w:tcBorders>
            <w:shd w:val="clear" w:color="auto" w:fill="auto"/>
            <w:noWrap/>
            <w:vAlign w:val="center"/>
            <w:hideMark/>
          </w:tcPr>
          <w:p w14:paraId="23A99070" w14:textId="77777777" w:rsidR="002B6ECB" w:rsidRPr="006F328E" w:rsidRDefault="002B6ECB" w:rsidP="00BA2145">
            <w:pPr>
              <w:contextualSpacing/>
              <w:jc w:val="center"/>
              <w:rPr>
                <w:rFonts w:eastAsia="Times New Roman"/>
                <w:b/>
                <w:bCs/>
                <w:color w:val="000000"/>
                <w:sz w:val="22"/>
                <w:szCs w:val="22"/>
              </w:rPr>
            </w:pPr>
            <w:r w:rsidRPr="006F328E">
              <w:rPr>
                <w:rFonts w:eastAsia="Times New Roman"/>
                <w:b/>
                <w:bCs/>
                <w:color w:val="000000"/>
                <w:sz w:val="22"/>
                <w:szCs w:val="22"/>
              </w:rPr>
              <w:t>Start</w:t>
            </w:r>
          </w:p>
        </w:tc>
        <w:tc>
          <w:tcPr>
            <w:tcW w:w="0" w:type="auto"/>
            <w:tcBorders>
              <w:top w:val="single" w:sz="8" w:space="0" w:color="auto"/>
              <w:left w:val="nil"/>
              <w:bottom w:val="single" w:sz="8" w:space="0" w:color="auto"/>
              <w:right w:val="nil"/>
            </w:tcBorders>
            <w:shd w:val="clear" w:color="auto" w:fill="auto"/>
            <w:noWrap/>
            <w:vAlign w:val="center"/>
            <w:hideMark/>
          </w:tcPr>
          <w:p w14:paraId="3B16E869" w14:textId="77777777" w:rsidR="002B6ECB" w:rsidRPr="006F328E" w:rsidRDefault="002B6ECB" w:rsidP="00BA2145">
            <w:pPr>
              <w:contextualSpacing/>
              <w:jc w:val="center"/>
              <w:rPr>
                <w:rFonts w:eastAsia="Times New Roman"/>
                <w:b/>
                <w:bCs/>
                <w:color w:val="000000"/>
                <w:sz w:val="22"/>
                <w:szCs w:val="22"/>
              </w:rPr>
            </w:pPr>
            <w:r w:rsidRPr="006F328E">
              <w:rPr>
                <w:rFonts w:eastAsia="Times New Roman"/>
                <w:b/>
                <w:bCs/>
                <w:color w:val="000000"/>
                <w:sz w:val="22"/>
                <w:szCs w:val="22"/>
              </w:rPr>
              <w:t>End</w:t>
            </w:r>
          </w:p>
        </w:tc>
      </w:tr>
      <w:tr w:rsidR="002B6ECB" w:rsidRPr="006F328E" w14:paraId="5738CCD7" w14:textId="77777777" w:rsidTr="00BA2145">
        <w:trPr>
          <w:trHeight w:val="320"/>
        </w:trPr>
        <w:tc>
          <w:tcPr>
            <w:tcW w:w="0" w:type="auto"/>
            <w:tcBorders>
              <w:top w:val="nil"/>
              <w:left w:val="nil"/>
              <w:bottom w:val="nil"/>
              <w:right w:val="nil"/>
            </w:tcBorders>
            <w:shd w:val="clear" w:color="auto" w:fill="auto"/>
            <w:noWrap/>
            <w:vAlign w:val="center"/>
            <w:hideMark/>
          </w:tcPr>
          <w:p w14:paraId="1A7DCCA2" w14:textId="77777777" w:rsidR="002B6ECB" w:rsidRPr="006F328E" w:rsidRDefault="002B6ECB" w:rsidP="00BA2145">
            <w:pPr>
              <w:contextualSpacing/>
              <w:jc w:val="center"/>
              <w:rPr>
                <w:rFonts w:eastAsia="Times New Roman"/>
                <w:color w:val="000000"/>
                <w:sz w:val="22"/>
                <w:szCs w:val="22"/>
              </w:rPr>
            </w:pPr>
            <w:r w:rsidRPr="006F328E">
              <w:rPr>
                <w:rFonts w:eastAsia="Times New Roman"/>
                <w:color w:val="000000"/>
                <w:sz w:val="22"/>
                <w:szCs w:val="22"/>
              </w:rPr>
              <w:t>1982</w:t>
            </w:r>
          </w:p>
        </w:tc>
        <w:tc>
          <w:tcPr>
            <w:tcW w:w="0" w:type="auto"/>
            <w:tcBorders>
              <w:top w:val="nil"/>
              <w:left w:val="nil"/>
              <w:bottom w:val="nil"/>
              <w:right w:val="nil"/>
            </w:tcBorders>
            <w:shd w:val="clear" w:color="auto" w:fill="auto"/>
            <w:noWrap/>
            <w:vAlign w:val="center"/>
            <w:hideMark/>
          </w:tcPr>
          <w:p w14:paraId="67202503" w14:textId="77777777" w:rsidR="002B6ECB" w:rsidRPr="006F328E" w:rsidRDefault="002B6ECB" w:rsidP="00BA2145">
            <w:pPr>
              <w:contextualSpacing/>
              <w:jc w:val="center"/>
              <w:rPr>
                <w:rFonts w:eastAsia="Times New Roman"/>
                <w:color w:val="000000"/>
                <w:sz w:val="22"/>
                <w:szCs w:val="22"/>
              </w:rPr>
            </w:pPr>
            <w:r w:rsidRPr="006F328E">
              <w:rPr>
                <w:rFonts w:eastAsia="Times New Roman"/>
                <w:color w:val="000000"/>
                <w:sz w:val="22"/>
                <w:szCs w:val="22"/>
              </w:rPr>
              <w:t>1983</w:t>
            </w:r>
          </w:p>
        </w:tc>
      </w:tr>
      <w:tr w:rsidR="002B6ECB" w:rsidRPr="006F328E" w14:paraId="2227399A" w14:textId="77777777" w:rsidTr="00BA2145">
        <w:trPr>
          <w:trHeight w:val="320"/>
        </w:trPr>
        <w:tc>
          <w:tcPr>
            <w:tcW w:w="0" w:type="auto"/>
            <w:tcBorders>
              <w:top w:val="nil"/>
              <w:left w:val="nil"/>
              <w:bottom w:val="nil"/>
              <w:right w:val="nil"/>
            </w:tcBorders>
            <w:shd w:val="clear" w:color="auto" w:fill="auto"/>
            <w:noWrap/>
            <w:vAlign w:val="center"/>
            <w:hideMark/>
          </w:tcPr>
          <w:p w14:paraId="39172B66" w14:textId="77777777" w:rsidR="002B6ECB" w:rsidRPr="006F328E" w:rsidRDefault="002B6ECB" w:rsidP="00BA2145">
            <w:pPr>
              <w:contextualSpacing/>
              <w:jc w:val="center"/>
              <w:rPr>
                <w:rFonts w:eastAsia="Times New Roman"/>
                <w:color w:val="000000"/>
                <w:sz w:val="22"/>
                <w:szCs w:val="22"/>
              </w:rPr>
            </w:pPr>
            <w:r w:rsidRPr="006F328E">
              <w:rPr>
                <w:rFonts w:eastAsia="Times New Roman"/>
                <w:color w:val="000000"/>
                <w:sz w:val="22"/>
                <w:szCs w:val="22"/>
              </w:rPr>
              <w:t>1986</w:t>
            </w:r>
          </w:p>
        </w:tc>
        <w:tc>
          <w:tcPr>
            <w:tcW w:w="0" w:type="auto"/>
            <w:tcBorders>
              <w:top w:val="nil"/>
              <w:left w:val="nil"/>
              <w:bottom w:val="nil"/>
              <w:right w:val="nil"/>
            </w:tcBorders>
            <w:shd w:val="clear" w:color="auto" w:fill="auto"/>
            <w:noWrap/>
            <w:vAlign w:val="center"/>
            <w:hideMark/>
          </w:tcPr>
          <w:p w14:paraId="48E8B2FC" w14:textId="77777777" w:rsidR="002B6ECB" w:rsidRPr="006F328E" w:rsidRDefault="002B6ECB" w:rsidP="00BA2145">
            <w:pPr>
              <w:contextualSpacing/>
              <w:jc w:val="center"/>
              <w:rPr>
                <w:rFonts w:eastAsia="Times New Roman"/>
                <w:color w:val="000000"/>
                <w:sz w:val="22"/>
                <w:szCs w:val="22"/>
              </w:rPr>
            </w:pPr>
            <w:r w:rsidRPr="006F328E">
              <w:rPr>
                <w:rFonts w:eastAsia="Times New Roman"/>
                <w:color w:val="000000"/>
                <w:sz w:val="22"/>
                <w:szCs w:val="22"/>
              </w:rPr>
              <w:t>1987</w:t>
            </w:r>
          </w:p>
        </w:tc>
      </w:tr>
      <w:tr w:rsidR="002B6ECB" w:rsidRPr="006F328E" w14:paraId="4C765339" w14:textId="77777777" w:rsidTr="00BA2145">
        <w:trPr>
          <w:trHeight w:val="320"/>
        </w:trPr>
        <w:tc>
          <w:tcPr>
            <w:tcW w:w="0" w:type="auto"/>
            <w:tcBorders>
              <w:top w:val="nil"/>
              <w:left w:val="nil"/>
              <w:bottom w:val="nil"/>
              <w:right w:val="nil"/>
            </w:tcBorders>
            <w:shd w:val="clear" w:color="auto" w:fill="auto"/>
            <w:noWrap/>
            <w:vAlign w:val="center"/>
            <w:hideMark/>
          </w:tcPr>
          <w:p w14:paraId="55D98A6E" w14:textId="77777777" w:rsidR="002B6ECB" w:rsidRPr="006F328E" w:rsidRDefault="002B6ECB" w:rsidP="00BA2145">
            <w:pPr>
              <w:contextualSpacing/>
              <w:jc w:val="center"/>
              <w:rPr>
                <w:rFonts w:eastAsia="Times New Roman"/>
                <w:color w:val="000000"/>
                <w:sz w:val="22"/>
                <w:szCs w:val="22"/>
              </w:rPr>
            </w:pPr>
            <w:r w:rsidRPr="006F328E">
              <w:rPr>
                <w:rFonts w:eastAsia="Times New Roman"/>
                <w:color w:val="000000"/>
                <w:sz w:val="22"/>
                <w:szCs w:val="22"/>
              </w:rPr>
              <w:t>1991</w:t>
            </w:r>
          </w:p>
        </w:tc>
        <w:tc>
          <w:tcPr>
            <w:tcW w:w="0" w:type="auto"/>
            <w:tcBorders>
              <w:top w:val="nil"/>
              <w:left w:val="nil"/>
              <w:bottom w:val="nil"/>
              <w:right w:val="nil"/>
            </w:tcBorders>
            <w:shd w:val="clear" w:color="auto" w:fill="auto"/>
            <w:noWrap/>
            <w:vAlign w:val="center"/>
            <w:hideMark/>
          </w:tcPr>
          <w:p w14:paraId="15A094BA" w14:textId="77777777" w:rsidR="002B6ECB" w:rsidRPr="006F328E" w:rsidRDefault="002B6ECB" w:rsidP="00BA2145">
            <w:pPr>
              <w:contextualSpacing/>
              <w:jc w:val="center"/>
              <w:rPr>
                <w:rFonts w:eastAsia="Times New Roman"/>
                <w:color w:val="000000"/>
                <w:sz w:val="22"/>
                <w:szCs w:val="22"/>
              </w:rPr>
            </w:pPr>
            <w:r w:rsidRPr="006F328E">
              <w:rPr>
                <w:rFonts w:eastAsia="Times New Roman"/>
                <w:color w:val="000000"/>
                <w:sz w:val="22"/>
                <w:szCs w:val="22"/>
              </w:rPr>
              <w:t>1994</w:t>
            </w:r>
          </w:p>
        </w:tc>
      </w:tr>
      <w:tr w:rsidR="002B6ECB" w:rsidRPr="006F328E" w14:paraId="6F2E54A4" w14:textId="77777777" w:rsidTr="00BA2145">
        <w:trPr>
          <w:trHeight w:val="320"/>
        </w:trPr>
        <w:tc>
          <w:tcPr>
            <w:tcW w:w="0" w:type="auto"/>
            <w:tcBorders>
              <w:top w:val="nil"/>
              <w:left w:val="nil"/>
              <w:bottom w:val="nil"/>
              <w:right w:val="nil"/>
            </w:tcBorders>
            <w:shd w:val="clear" w:color="auto" w:fill="auto"/>
            <w:noWrap/>
            <w:vAlign w:val="center"/>
            <w:hideMark/>
          </w:tcPr>
          <w:p w14:paraId="72639FA0" w14:textId="77777777" w:rsidR="002B6ECB" w:rsidRPr="006F328E" w:rsidRDefault="002B6ECB" w:rsidP="00BA2145">
            <w:pPr>
              <w:contextualSpacing/>
              <w:jc w:val="center"/>
              <w:rPr>
                <w:rFonts w:eastAsia="Times New Roman"/>
                <w:color w:val="000000"/>
                <w:sz w:val="22"/>
                <w:szCs w:val="22"/>
              </w:rPr>
            </w:pPr>
            <w:r w:rsidRPr="006F328E">
              <w:rPr>
                <w:rFonts w:eastAsia="Times New Roman"/>
                <w:color w:val="000000"/>
                <w:sz w:val="22"/>
                <w:szCs w:val="22"/>
              </w:rPr>
              <w:t>1997</w:t>
            </w:r>
          </w:p>
        </w:tc>
        <w:tc>
          <w:tcPr>
            <w:tcW w:w="0" w:type="auto"/>
            <w:tcBorders>
              <w:top w:val="nil"/>
              <w:left w:val="nil"/>
              <w:bottom w:val="nil"/>
              <w:right w:val="nil"/>
            </w:tcBorders>
            <w:shd w:val="clear" w:color="auto" w:fill="auto"/>
            <w:noWrap/>
            <w:vAlign w:val="center"/>
            <w:hideMark/>
          </w:tcPr>
          <w:p w14:paraId="72EFA8DE" w14:textId="77777777" w:rsidR="002B6ECB" w:rsidRPr="006F328E" w:rsidRDefault="002B6ECB" w:rsidP="00BA2145">
            <w:pPr>
              <w:contextualSpacing/>
              <w:jc w:val="center"/>
              <w:rPr>
                <w:rFonts w:eastAsia="Times New Roman"/>
                <w:color w:val="000000"/>
                <w:sz w:val="22"/>
                <w:szCs w:val="22"/>
              </w:rPr>
            </w:pPr>
            <w:r w:rsidRPr="006F328E">
              <w:rPr>
                <w:rFonts w:eastAsia="Times New Roman"/>
                <w:color w:val="000000"/>
                <w:sz w:val="22"/>
                <w:szCs w:val="22"/>
              </w:rPr>
              <w:t>1998</w:t>
            </w:r>
          </w:p>
        </w:tc>
      </w:tr>
      <w:tr w:rsidR="002B6ECB" w:rsidRPr="006F328E" w14:paraId="0316EAB6" w14:textId="77777777" w:rsidTr="00BA2145">
        <w:trPr>
          <w:trHeight w:val="320"/>
        </w:trPr>
        <w:tc>
          <w:tcPr>
            <w:tcW w:w="0" w:type="auto"/>
            <w:tcBorders>
              <w:top w:val="nil"/>
              <w:left w:val="nil"/>
              <w:bottom w:val="nil"/>
              <w:right w:val="nil"/>
            </w:tcBorders>
            <w:shd w:val="clear" w:color="auto" w:fill="auto"/>
            <w:noWrap/>
            <w:vAlign w:val="center"/>
            <w:hideMark/>
          </w:tcPr>
          <w:p w14:paraId="5F720B7E" w14:textId="77777777" w:rsidR="002B6ECB" w:rsidRPr="006F328E" w:rsidRDefault="002B6ECB" w:rsidP="00BA2145">
            <w:pPr>
              <w:contextualSpacing/>
              <w:jc w:val="center"/>
              <w:rPr>
                <w:rFonts w:eastAsia="Times New Roman"/>
                <w:color w:val="000000"/>
                <w:sz w:val="22"/>
                <w:szCs w:val="22"/>
              </w:rPr>
            </w:pPr>
            <w:r w:rsidRPr="006F328E">
              <w:rPr>
                <w:rFonts w:eastAsia="Times New Roman"/>
                <w:color w:val="000000"/>
                <w:sz w:val="22"/>
                <w:szCs w:val="22"/>
              </w:rPr>
              <w:t>2002</w:t>
            </w:r>
          </w:p>
        </w:tc>
        <w:tc>
          <w:tcPr>
            <w:tcW w:w="0" w:type="auto"/>
            <w:tcBorders>
              <w:top w:val="nil"/>
              <w:left w:val="nil"/>
              <w:bottom w:val="nil"/>
              <w:right w:val="nil"/>
            </w:tcBorders>
            <w:shd w:val="clear" w:color="auto" w:fill="auto"/>
            <w:noWrap/>
            <w:vAlign w:val="center"/>
            <w:hideMark/>
          </w:tcPr>
          <w:p w14:paraId="352FBA9D" w14:textId="77777777" w:rsidR="002B6ECB" w:rsidRPr="006F328E" w:rsidRDefault="002B6ECB" w:rsidP="00BA2145">
            <w:pPr>
              <w:contextualSpacing/>
              <w:jc w:val="center"/>
              <w:rPr>
                <w:rFonts w:eastAsia="Times New Roman"/>
                <w:color w:val="000000"/>
                <w:sz w:val="22"/>
                <w:szCs w:val="22"/>
              </w:rPr>
            </w:pPr>
            <w:r w:rsidRPr="006F328E">
              <w:rPr>
                <w:rFonts w:eastAsia="Times New Roman"/>
                <w:color w:val="000000"/>
                <w:sz w:val="22"/>
                <w:szCs w:val="22"/>
              </w:rPr>
              <w:t>2003</w:t>
            </w:r>
          </w:p>
        </w:tc>
      </w:tr>
      <w:tr w:rsidR="002B6ECB" w:rsidRPr="006F328E" w14:paraId="1A80EAE1" w14:textId="77777777" w:rsidTr="00BA2145">
        <w:trPr>
          <w:trHeight w:val="320"/>
        </w:trPr>
        <w:tc>
          <w:tcPr>
            <w:tcW w:w="0" w:type="auto"/>
            <w:tcBorders>
              <w:top w:val="nil"/>
              <w:left w:val="nil"/>
              <w:bottom w:val="nil"/>
              <w:right w:val="nil"/>
            </w:tcBorders>
            <w:shd w:val="clear" w:color="auto" w:fill="auto"/>
            <w:noWrap/>
            <w:vAlign w:val="center"/>
            <w:hideMark/>
          </w:tcPr>
          <w:p w14:paraId="2136FB25" w14:textId="77777777" w:rsidR="002B6ECB" w:rsidRPr="006F328E" w:rsidRDefault="002B6ECB" w:rsidP="00BA2145">
            <w:pPr>
              <w:contextualSpacing/>
              <w:jc w:val="center"/>
              <w:rPr>
                <w:rFonts w:eastAsia="Times New Roman"/>
                <w:color w:val="000000"/>
                <w:sz w:val="22"/>
                <w:szCs w:val="22"/>
              </w:rPr>
            </w:pPr>
            <w:r w:rsidRPr="006F328E">
              <w:rPr>
                <w:rFonts w:eastAsia="Times New Roman"/>
                <w:color w:val="000000"/>
                <w:sz w:val="22"/>
                <w:szCs w:val="22"/>
              </w:rPr>
              <w:t>2004</w:t>
            </w:r>
          </w:p>
        </w:tc>
        <w:tc>
          <w:tcPr>
            <w:tcW w:w="0" w:type="auto"/>
            <w:tcBorders>
              <w:top w:val="nil"/>
              <w:left w:val="nil"/>
              <w:bottom w:val="nil"/>
              <w:right w:val="nil"/>
            </w:tcBorders>
            <w:shd w:val="clear" w:color="auto" w:fill="auto"/>
            <w:noWrap/>
            <w:vAlign w:val="center"/>
            <w:hideMark/>
          </w:tcPr>
          <w:p w14:paraId="554D88AB" w14:textId="77777777" w:rsidR="002B6ECB" w:rsidRPr="006F328E" w:rsidRDefault="002B6ECB" w:rsidP="00BA2145">
            <w:pPr>
              <w:contextualSpacing/>
              <w:jc w:val="center"/>
              <w:rPr>
                <w:rFonts w:eastAsia="Times New Roman"/>
                <w:color w:val="000000"/>
                <w:sz w:val="22"/>
                <w:szCs w:val="22"/>
              </w:rPr>
            </w:pPr>
            <w:r w:rsidRPr="006F328E">
              <w:rPr>
                <w:rFonts w:eastAsia="Times New Roman"/>
                <w:color w:val="000000"/>
                <w:sz w:val="22"/>
                <w:szCs w:val="22"/>
              </w:rPr>
              <w:t>2005</w:t>
            </w:r>
          </w:p>
        </w:tc>
      </w:tr>
      <w:tr w:rsidR="002B6ECB" w:rsidRPr="006F328E" w14:paraId="59751D88" w14:textId="77777777" w:rsidTr="00BA2145">
        <w:trPr>
          <w:trHeight w:val="320"/>
        </w:trPr>
        <w:tc>
          <w:tcPr>
            <w:tcW w:w="0" w:type="auto"/>
            <w:tcBorders>
              <w:top w:val="nil"/>
              <w:left w:val="nil"/>
              <w:bottom w:val="nil"/>
              <w:right w:val="nil"/>
            </w:tcBorders>
            <w:shd w:val="clear" w:color="auto" w:fill="auto"/>
            <w:noWrap/>
            <w:vAlign w:val="center"/>
            <w:hideMark/>
          </w:tcPr>
          <w:p w14:paraId="5EBF7CA6" w14:textId="77777777" w:rsidR="002B6ECB" w:rsidRPr="006F328E" w:rsidRDefault="002B6ECB" w:rsidP="00BA2145">
            <w:pPr>
              <w:contextualSpacing/>
              <w:jc w:val="center"/>
              <w:rPr>
                <w:rFonts w:eastAsia="Times New Roman"/>
                <w:color w:val="000000"/>
                <w:sz w:val="22"/>
                <w:szCs w:val="22"/>
              </w:rPr>
            </w:pPr>
            <w:r w:rsidRPr="006F328E">
              <w:rPr>
                <w:rFonts w:eastAsia="Times New Roman"/>
                <w:color w:val="000000"/>
                <w:sz w:val="22"/>
                <w:szCs w:val="22"/>
              </w:rPr>
              <w:t>2006</w:t>
            </w:r>
          </w:p>
        </w:tc>
        <w:tc>
          <w:tcPr>
            <w:tcW w:w="0" w:type="auto"/>
            <w:tcBorders>
              <w:top w:val="nil"/>
              <w:left w:val="nil"/>
              <w:bottom w:val="nil"/>
              <w:right w:val="nil"/>
            </w:tcBorders>
            <w:shd w:val="clear" w:color="auto" w:fill="auto"/>
            <w:noWrap/>
            <w:vAlign w:val="center"/>
            <w:hideMark/>
          </w:tcPr>
          <w:p w14:paraId="731DCE02" w14:textId="77777777" w:rsidR="002B6ECB" w:rsidRPr="006F328E" w:rsidRDefault="002B6ECB" w:rsidP="00BA2145">
            <w:pPr>
              <w:contextualSpacing/>
              <w:jc w:val="center"/>
              <w:rPr>
                <w:rFonts w:eastAsia="Times New Roman"/>
                <w:color w:val="000000"/>
                <w:sz w:val="22"/>
                <w:szCs w:val="22"/>
              </w:rPr>
            </w:pPr>
            <w:r w:rsidRPr="006F328E">
              <w:rPr>
                <w:rFonts w:eastAsia="Times New Roman"/>
                <w:color w:val="000000"/>
                <w:sz w:val="22"/>
                <w:szCs w:val="22"/>
              </w:rPr>
              <w:t>2007</w:t>
            </w:r>
          </w:p>
        </w:tc>
      </w:tr>
      <w:tr w:rsidR="002B6ECB" w:rsidRPr="006F328E" w14:paraId="0BBAB5B2" w14:textId="77777777" w:rsidTr="00BA2145">
        <w:trPr>
          <w:trHeight w:val="320"/>
        </w:trPr>
        <w:tc>
          <w:tcPr>
            <w:tcW w:w="0" w:type="auto"/>
            <w:tcBorders>
              <w:top w:val="nil"/>
              <w:left w:val="nil"/>
              <w:bottom w:val="nil"/>
              <w:right w:val="nil"/>
            </w:tcBorders>
            <w:shd w:val="clear" w:color="auto" w:fill="auto"/>
            <w:noWrap/>
            <w:vAlign w:val="center"/>
            <w:hideMark/>
          </w:tcPr>
          <w:p w14:paraId="7CFADF84" w14:textId="77777777" w:rsidR="002B6ECB" w:rsidRPr="006F328E" w:rsidRDefault="002B6ECB" w:rsidP="00BA2145">
            <w:pPr>
              <w:contextualSpacing/>
              <w:jc w:val="center"/>
              <w:rPr>
                <w:rFonts w:eastAsia="Times New Roman"/>
                <w:color w:val="000000"/>
                <w:sz w:val="22"/>
                <w:szCs w:val="22"/>
              </w:rPr>
            </w:pPr>
            <w:r w:rsidRPr="006F328E">
              <w:rPr>
                <w:rFonts w:eastAsia="Times New Roman"/>
                <w:color w:val="000000"/>
                <w:sz w:val="22"/>
                <w:szCs w:val="22"/>
              </w:rPr>
              <w:t>2009</w:t>
            </w:r>
          </w:p>
        </w:tc>
        <w:tc>
          <w:tcPr>
            <w:tcW w:w="0" w:type="auto"/>
            <w:tcBorders>
              <w:top w:val="nil"/>
              <w:left w:val="nil"/>
              <w:bottom w:val="nil"/>
              <w:right w:val="nil"/>
            </w:tcBorders>
            <w:shd w:val="clear" w:color="auto" w:fill="auto"/>
            <w:noWrap/>
            <w:vAlign w:val="center"/>
            <w:hideMark/>
          </w:tcPr>
          <w:p w14:paraId="3F5DC77C" w14:textId="77777777" w:rsidR="002B6ECB" w:rsidRPr="006F328E" w:rsidRDefault="002B6ECB" w:rsidP="00BA2145">
            <w:pPr>
              <w:contextualSpacing/>
              <w:jc w:val="center"/>
              <w:rPr>
                <w:rFonts w:eastAsia="Times New Roman"/>
                <w:color w:val="000000"/>
                <w:sz w:val="22"/>
                <w:szCs w:val="22"/>
              </w:rPr>
            </w:pPr>
            <w:r w:rsidRPr="006F328E">
              <w:rPr>
                <w:rFonts w:eastAsia="Times New Roman"/>
                <w:color w:val="000000"/>
                <w:sz w:val="22"/>
                <w:szCs w:val="22"/>
              </w:rPr>
              <w:t>2010</w:t>
            </w:r>
          </w:p>
        </w:tc>
      </w:tr>
      <w:tr w:rsidR="002B6ECB" w:rsidRPr="006F328E" w14:paraId="1373A9AF" w14:textId="77777777" w:rsidTr="00BA2145">
        <w:trPr>
          <w:trHeight w:val="320"/>
        </w:trPr>
        <w:tc>
          <w:tcPr>
            <w:tcW w:w="0" w:type="auto"/>
            <w:tcBorders>
              <w:top w:val="nil"/>
              <w:left w:val="nil"/>
              <w:bottom w:val="single" w:sz="4" w:space="0" w:color="auto"/>
              <w:right w:val="nil"/>
            </w:tcBorders>
            <w:shd w:val="clear" w:color="auto" w:fill="auto"/>
            <w:noWrap/>
            <w:vAlign w:val="center"/>
            <w:hideMark/>
          </w:tcPr>
          <w:p w14:paraId="14D91262" w14:textId="77777777" w:rsidR="002B6ECB" w:rsidRPr="006F328E" w:rsidRDefault="002B6ECB" w:rsidP="00BA2145">
            <w:pPr>
              <w:contextualSpacing/>
              <w:jc w:val="center"/>
              <w:rPr>
                <w:rFonts w:eastAsia="Times New Roman"/>
                <w:color w:val="000000"/>
                <w:sz w:val="22"/>
                <w:szCs w:val="22"/>
              </w:rPr>
            </w:pPr>
            <w:r w:rsidRPr="006F328E">
              <w:rPr>
                <w:rFonts w:eastAsia="Times New Roman"/>
                <w:color w:val="000000"/>
                <w:sz w:val="22"/>
                <w:szCs w:val="22"/>
              </w:rPr>
              <w:t>2015</w:t>
            </w:r>
          </w:p>
        </w:tc>
        <w:tc>
          <w:tcPr>
            <w:tcW w:w="0" w:type="auto"/>
            <w:tcBorders>
              <w:top w:val="nil"/>
              <w:left w:val="nil"/>
              <w:bottom w:val="single" w:sz="4" w:space="0" w:color="auto"/>
              <w:right w:val="nil"/>
            </w:tcBorders>
            <w:shd w:val="clear" w:color="auto" w:fill="auto"/>
            <w:noWrap/>
            <w:vAlign w:val="center"/>
            <w:hideMark/>
          </w:tcPr>
          <w:p w14:paraId="66A2ED3A" w14:textId="77777777" w:rsidR="002B6ECB" w:rsidRPr="006F328E" w:rsidRDefault="002B6ECB" w:rsidP="00BA2145">
            <w:pPr>
              <w:contextualSpacing/>
              <w:jc w:val="center"/>
              <w:rPr>
                <w:rFonts w:eastAsia="Times New Roman"/>
                <w:color w:val="000000"/>
                <w:sz w:val="22"/>
                <w:szCs w:val="22"/>
              </w:rPr>
            </w:pPr>
            <w:r w:rsidRPr="006F328E">
              <w:rPr>
                <w:rFonts w:eastAsia="Times New Roman"/>
                <w:color w:val="000000"/>
                <w:sz w:val="22"/>
                <w:szCs w:val="22"/>
              </w:rPr>
              <w:t>2016</w:t>
            </w:r>
          </w:p>
        </w:tc>
      </w:tr>
    </w:tbl>
    <w:p w14:paraId="5D2728E9" w14:textId="77777777" w:rsidR="00F0175F" w:rsidRDefault="00F0175F" w:rsidP="0026273B">
      <w:pPr>
        <w:contextualSpacing/>
        <w:jc w:val="both"/>
        <w:rPr>
          <w:b/>
        </w:rPr>
      </w:pPr>
    </w:p>
    <w:p w14:paraId="5741495B" w14:textId="77777777" w:rsidR="002B6ECB" w:rsidRDefault="002B6ECB" w:rsidP="0026273B">
      <w:pPr>
        <w:contextualSpacing/>
        <w:jc w:val="both"/>
        <w:rPr>
          <w:b/>
        </w:rPr>
      </w:pPr>
    </w:p>
    <w:p w14:paraId="127C96C4" w14:textId="77777777" w:rsidR="002B6ECB" w:rsidRDefault="002B6ECB" w:rsidP="0026273B">
      <w:pPr>
        <w:contextualSpacing/>
        <w:jc w:val="both"/>
        <w:rPr>
          <w:b/>
        </w:rPr>
      </w:pPr>
    </w:p>
    <w:p w14:paraId="384C0982" w14:textId="77777777" w:rsidR="00760237" w:rsidRDefault="00760237" w:rsidP="0026273B">
      <w:pPr>
        <w:contextualSpacing/>
        <w:jc w:val="both"/>
        <w:rPr>
          <w:b/>
        </w:rPr>
      </w:pPr>
    </w:p>
    <w:p w14:paraId="09ED5711" w14:textId="40DB6934" w:rsidR="002F0C32" w:rsidRPr="00473388" w:rsidRDefault="0026273B" w:rsidP="00B5301C">
      <w:pPr>
        <w:spacing w:after="120"/>
        <w:jc w:val="both"/>
      </w:pPr>
      <w:r w:rsidRPr="00473388">
        <w:rPr>
          <w:b/>
        </w:rPr>
        <w:lastRenderedPageBreak/>
        <w:t>Table S2.</w:t>
      </w:r>
      <w:r w:rsidRPr="00473388">
        <w:t xml:space="preserve"> </w:t>
      </w:r>
      <w:r w:rsidR="00293286">
        <w:t>Annual mean</w:t>
      </w:r>
      <w:r w:rsidR="00000BD7" w:rsidRPr="00473388">
        <w:t xml:space="preserve"> RF, nDIC, and pH </w:t>
      </w:r>
      <w:r w:rsidR="00FF3CBB">
        <w:t xml:space="preserve">values </w:t>
      </w:r>
      <w:r w:rsidR="00DB0258">
        <w:t xml:space="preserve">from </w:t>
      </w:r>
      <w:r w:rsidR="00F90C4A">
        <w:t xml:space="preserve">the </w:t>
      </w:r>
      <w:r w:rsidR="00250705">
        <w:t>t</w:t>
      </w:r>
      <w:r w:rsidR="00DB0258" w:rsidRPr="00473388">
        <w:t>ime</w:t>
      </w:r>
      <w:r w:rsidR="000B056B">
        <w:t xml:space="preserve"> </w:t>
      </w:r>
      <w:r w:rsidR="00250705">
        <w:t>s</w:t>
      </w:r>
      <w:r w:rsidR="00250705" w:rsidRPr="00473388">
        <w:t xml:space="preserve">eries </w:t>
      </w:r>
      <w:r w:rsidR="00DB0258" w:rsidRPr="00473388">
        <w:t xml:space="preserve">(TS) sites </w:t>
      </w:r>
      <w:r w:rsidR="00F90C4A">
        <w:t>(</w:t>
      </w:r>
      <w:r w:rsidR="00F83D65" w:rsidRPr="00F83D65">
        <w:rPr>
          <w:b/>
        </w:rPr>
        <w:t>Figure S1</w:t>
      </w:r>
      <w:r w:rsidR="00F90C4A">
        <w:t xml:space="preserve">) and </w:t>
      </w:r>
      <w:r w:rsidR="00DB0258">
        <w:t xml:space="preserve">corresponding SOCAT-V4 </w:t>
      </w:r>
      <w:r w:rsidR="00F90C4A">
        <w:t xml:space="preserve">climatology </w:t>
      </w:r>
      <w:r w:rsidR="00DB0258">
        <w:t xml:space="preserve">grid cells. </w:t>
      </w:r>
      <w:r w:rsidR="00CC3C35">
        <w:t>Time</w:t>
      </w:r>
      <w:r w:rsidR="000B056B">
        <w:t xml:space="preserve"> </w:t>
      </w:r>
      <w:r w:rsidR="00250705">
        <w:t xml:space="preserve">series </w:t>
      </w:r>
      <w:r w:rsidR="00CC3C35">
        <w:t>climatologies were d</w:t>
      </w:r>
      <w:r w:rsidR="00F40220">
        <w:t xml:space="preserve">etermined using </w:t>
      </w:r>
      <w:r w:rsidR="00000BD7" w:rsidRPr="00473388">
        <w:t>data from the references (R) listed below the table</w:t>
      </w:r>
      <w:r w:rsidR="00B14B12">
        <w:t xml:space="preserve"> following the </w:t>
      </w:r>
      <w:r w:rsidR="00B61F57">
        <w:t xml:space="preserve">methods </w:t>
      </w:r>
      <w:r w:rsidR="00B14B12">
        <w:t xml:space="preserve">described in </w:t>
      </w:r>
      <w:r w:rsidR="00B14B12" w:rsidRPr="00B14B12">
        <w:rPr>
          <w:b/>
        </w:rPr>
        <w:t>Text S2</w:t>
      </w:r>
      <w:r w:rsidR="00000BD7" w:rsidRPr="00473388">
        <w:t xml:space="preserve">. </w:t>
      </w:r>
    </w:p>
    <w:tbl>
      <w:tblPr>
        <w:tblW w:w="0" w:type="auto"/>
        <w:tblLook w:val="04A0" w:firstRow="1" w:lastRow="0" w:firstColumn="1" w:lastColumn="0" w:noHBand="0" w:noVBand="1"/>
      </w:tblPr>
      <w:tblGrid>
        <w:gridCol w:w="1353"/>
        <w:gridCol w:w="958"/>
        <w:gridCol w:w="934"/>
        <w:gridCol w:w="601"/>
        <w:gridCol w:w="974"/>
        <w:gridCol w:w="837"/>
        <w:gridCol w:w="992"/>
        <w:gridCol w:w="601"/>
        <w:gridCol w:w="974"/>
        <w:gridCol w:w="375"/>
      </w:tblGrid>
      <w:tr w:rsidR="002F0C32" w:rsidRPr="002F0C32" w14:paraId="23242369" w14:textId="77777777" w:rsidTr="002F0C32">
        <w:trPr>
          <w:trHeight w:val="300"/>
        </w:trPr>
        <w:tc>
          <w:tcPr>
            <w:tcW w:w="0" w:type="auto"/>
            <w:tcBorders>
              <w:top w:val="single" w:sz="4" w:space="0" w:color="auto"/>
              <w:left w:val="nil"/>
              <w:bottom w:val="nil"/>
              <w:right w:val="nil"/>
            </w:tcBorders>
            <w:shd w:val="clear" w:color="auto" w:fill="auto"/>
            <w:noWrap/>
            <w:vAlign w:val="center"/>
            <w:hideMark/>
          </w:tcPr>
          <w:p w14:paraId="41E905AB" w14:textId="49A53272" w:rsidR="002F0C32" w:rsidRPr="000041BA" w:rsidRDefault="002F0C32" w:rsidP="005F4293">
            <w:pPr>
              <w:rPr>
                <w:rFonts w:eastAsia="Times New Roman"/>
                <w:b/>
                <w:bCs/>
                <w:color w:val="000000"/>
                <w:sz w:val="22"/>
                <w:szCs w:val="22"/>
              </w:rPr>
            </w:pPr>
            <w:r w:rsidRPr="000041BA">
              <w:rPr>
                <w:rFonts w:eastAsia="Times New Roman"/>
                <w:b/>
                <w:bCs/>
                <w:color w:val="000000"/>
                <w:sz w:val="22"/>
                <w:szCs w:val="22"/>
              </w:rPr>
              <w:t>Time</w:t>
            </w:r>
            <w:r w:rsidR="000B056B">
              <w:rPr>
                <w:rFonts w:eastAsia="Times New Roman"/>
                <w:b/>
                <w:bCs/>
                <w:color w:val="000000"/>
                <w:sz w:val="22"/>
                <w:szCs w:val="22"/>
              </w:rPr>
              <w:t xml:space="preserve"> </w:t>
            </w:r>
            <w:r w:rsidR="00250705">
              <w:rPr>
                <w:rFonts w:eastAsia="Times New Roman"/>
                <w:b/>
                <w:bCs/>
                <w:color w:val="000000"/>
                <w:sz w:val="22"/>
                <w:szCs w:val="22"/>
              </w:rPr>
              <w:t>S</w:t>
            </w:r>
            <w:r w:rsidR="00250705" w:rsidRPr="000041BA">
              <w:rPr>
                <w:rFonts w:eastAsia="Times New Roman"/>
                <w:b/>
                <w:bCs/>
                <w:color w:val="000000"/>
                <w:sz w:val="22"/>
                <w:szCs w:val="22"/>
              </w:rPr>
              <w:t>eries</w:t>
            </w:r>
          </w:p>
        </w:tc>
        <w:tc>
          <w:tcPr>
            <w:tcW w:w="0" w:type="auto"/>
            <w:tcBorders>
              <w:top w:val="single" w:sz="4" w:space="0" w:color="auto"/>
              <w:left w:val="nil"/>
              <w:bottom w:val="nil"/>
              <w:right w:val="nil"/>
            </w:tcBorders>
            <w:shd w:val="clear" w:color="auto" w:fill="auto"/>
            <w:noWrap/>
            <w:vAlign w:val="center"/>
            <w:hideMark/>
          </w:tcPr>
          <w:p w14:paraId="238B3FDF" w14:textId="77777777" w:rsidR="002F0C32" w:rsidRPr="000041BA" w:rsidRDefault="002F0C32" w:rsidP="002F0C32">
            <w:pPr>
              <w:jc w:val="center"/>
              <w:rPr>
                <w:rFonts w:eastAsia="Times New Roman"/>
                <w:b/>
                <w:bCs/>
                <w:color w:val="000000"/>
                <w:sz w:val="22"/>
                <w:szCs w:val="22"/>
              </w:rPr>
            </w:pPr>
            <w:r w:rsidRPr="000041BA">
              <w:rPr>
                <w:rFonts w:eastAsia="Times New Roman"/>
                <w:b/>
                <w:bCs/>
                <w:color w:val="000000"/>
                <w:sz w:val="22"/>
                <w:szCs w:val="22"/>
              </w:rPr>
              <w:t>Lat.</w:t>
            </w:r>
          </w:p>
        </w:tc>
        <w:tc>
          <w:tcPr>
            <w:tcW w:w="0" w:type="auto"/>
            <w:tcBorders>
              <w:top w:val="single" w:sz="4" w:space="0" w:color="auto"/>
              <w:left w:val="nil"/>
              <w:bottom w:val="nil"/>
              <w:right w:val="nil"/>
            </w:tcBorders>
            <w:shd w:val="clear" w:color="auto" w:fill="auto"/>
            <w:noWrap/>
            <w:vAlign w:val="center"/>
            <w:hideMark/>
          </w:tcPr>
          <w:p w14:paraId="301E242E" w14:textId="77777777" w:rsidR="002F0C32" w:rsidRPr="000041BA" w:rsidRDefault="002F0C32" w:rsidP="002F0C32">
            <w:pPr>
              <w:jc w:val="center"/>
              <w:rPr>
                <w:rFonts w:eastAsia="Times New Roman"/>
                <w:b/>
                <w:bCs/>
                <w:color w:val="000000"/>
                <w:sz w:val="22"/>
                <w:szCs w:val="22"/>
              </w:rPr>
            </w:pPr>
            <w:r w:rsidRPr="000041BA">
              <w:rPr>
                <w:rFonts w:eastAsia="Times New Roman"/>
                <w:b/>
                <w:bCs/>
                <w:color w:val="000000"/>
                <w:sz w:val="22"/>
                <w:szCs w:val="22"/>
              </w:rPr>
              <w:t>Lon.</w:t>
            </w:r>
          </w:p>
        </w:tc>
        <w:tc>
          <w:tcPr>
            <w:tcW w:w="0" w:type="auto"/>
            <w:gridSpan w:val="2"/>
            <w:tcBorders>
              <w:top w:val="single" w:sz="4" w:space="0" w:color="auto"/>
              <w:left w:val="nil"/>
              <w:bottom w:val="nil"/>
              <w:right w:val="nil"/>
            </w:tcBorders>
            <w:shd w:val="clear" w:color="auto" w:fill="auto"/>
            <w:noWrap/>
            <w:vAlign w:val="center"/>
            <w:hideMark/>
          </w:tcPr>
          <w:p w14:paraId="0F5ECE35" w14:textId="77777777" w:rsidR="002F0C32" w:rsidRPr="000041BA" w:rsidRDefault="002F0C32" w:rsidP="002F0C32">
            <w:pPr>
              <w:jc w:val="center"/>
              <w:rPr>
                <w:rFonts w:eastAsia="Times New Roman"/>
                <w:b/>
                <w:bCs/>
                <w:color w:val="000000"/>
                <w:sz w:val="22"/>
                <w:szCs w:val="22"/>
              </w:rPr>
            </w:pPr>
            <w:r w:rsidRPr="000041BA">
              <w:rPr>
                <w:rFonts w:eastAsia="Times New Roman"/>
                <w:b/>
                <w:bCs/>
                <w:color w:val="000000"/>
                <w:sz w:val="22"/>
                <w:szCs w:val="22"/>
              </w:rPr>
              <w:t>RF</w:t>
            </w:r>
          </w:p>
        </w:tc>
        <w:tc>
          <w:tcPr>
            <w:tcW w:w="0" w:type="auto"/>
            <w:gridSpan w:val="2"/>
            <w:tcBorders>
              <w:top w:val="single" w:sz="4" w:space="0" w:color="auto"/>
              <w:left w:val="nil"/>
              <w:bottom w:val="nil"/>
              <w:right w:val="nil"/>
            </w:tcBorders>
            <w:shd w:val="clear" w:color="auto" w:fill="auto"/>
            <w:noWrap/>
            <w:vAlign w:val="center"/>
            <w:hideMark/>
          </w:tcPr>
          <w:p w14:paraId="43198465" w14:textId="5B64EB8B" w:rsidR="002F0C32" w:rsidRPr="000041BA" w:rsidRDefault="002F0C32" w:rsidP="002F0C32">
            <w:pPr>
              <w:jc w:val="center"/>
              <w:rPr>
                <w:rFonts w:eastAsia="Times New Roman"/>
                <w:b/>
                <w:bCs/>
                <w:color w:val="000000"/>
                <w:sz w:val="22"/>
                <w:szCs w:val="22"/>
              </w:rPr>
            </w:pPr>
            <w:r w:rsidRPr="000041BA">
              <w:rPr>
                <w:rFonts w:eastAsia="Times New Roman"/>
                <w:b/>
                <w:bCs/>
                <w:color w:val="000000"/>
                <w:sz w:val="22"/>
                <w:szCs w:val="22"/>
              </w:rPr>
              <w:t>nDIC (µmol kg</w:t>
            </w:r>
            <w:r w:rsidRPr="005F4293">
              <w:rPr>
                <w:rFonts w:eastAsia="Times New Roman"/>
                <w:b/>
                <w:bCs/>
                <w:color w:val="000000"/>
                <w:sz w:val="22"/>
                <w:szCs w:val="22"/>
                <w:vertAlign w:val="superscript"/>
              </w:rPr>
              <w:t>-1</w:t>
            </w:r>
            <w:r w:rsidRPr="000041BA">
              <w:rPr>
                <w:rFonts w:eastAsia="Times New Roman"/>
                <w:b/>
                <w:bCs/>
                <w:color w:val="000000"/>
                <w:sz w:val="22"/>
                <w:szCs w:val="22"/>
              </w:rPr>
              <w:t>)</w:t>
            </w:r>
          </w:p>
        </w:tc>
        <w:tc>
          <w:tcPr>
            <w:tcW w:w="0" w:type="auto"/>
            <w:gridSpan w:val="2"/>
            <w:tcBorders>
              <w:top w:val="single" w:sz="4" w:space="0" w:color="auto"/>
              <w:left w:val="nil"/>
              <w:bottom w:val="nil"/>
              <w:right w:val="nil"/>
            </w:tcBorders>
            <w:shd w:val="clear" w:color="auto" w:fill="auto"/>
            <w:noWrap/>
            <w:vAlign w:val="center"/>
            <w:hideMark/>
          </w:tcPr>
          <w:p w14:paraId="44F8F8EC" w14:textId="77777777" w:rsidR="002F0C32" w:rsidRPr="000041BA" w:rsidRDefault="002F0C32" w:rsidP="002F0C32">
            <w:pPr>
              <w:jc w:val="center"/>
              <w:rPr>
                <w:rFonts w:eastAsia="Times New Roman"/>
                <w:b/>
                <w:bCs/>
                <w:color w:val="000000"/>
                <w:sz w:val="22"/>
                <w:szCs w:val="22"/>
              </w:rPr>
            </w:pPr>
            <w:r w:rsidRPr="000041BA">
              <w:rPr>
                <w:rFonts w:eastAsia="Times New Roman"/>
                <w:b/>
                <w:bCs/>
                <w:color w:val="000000"/>
                <w:sz w:val="22"/>
                <w:szCs w:val="22"/>
              </w:rPr>
              <w:t>pH</w:t>
            </w:r>
          </w:p>
        </w:tc>
        <w:tc>
          <w:tcPr>
            <w:tcW w:w="0" w:type="auto"/>
            <w:tcBorders>
              <w:top w:val="single" w:sz="4" w:space="0" w:color="auto"/>
              <w:left w:val="nil"/>
              <w:bottom w:val="nil"/>
              <w:right w:val="nil"/>
            </w:tcBorders>
            <w:shd w:val="clear" w:color="auto" w:fill="auto"/>
            <w:noWrap/>
            <w:vAlign w:val="center"/>
            <w:hideMark/>
          </w:tcPr>
          <w:p w14:paraId="1E725499" w14:textId="77777777" w:rsidR="002F0C32" w:rsidRPr="000041BA" w:rsidRDefault="002F0C32" w:rsidP="002F0C32">
            <w:pPr>
              <w:jc w:val="center"/>
              <w:rPr>
                <w:rFonts w:eastAsia="Times New Roman"/>
                <w:b/>
                <w:bCs/>
                <w:color w:val="000000"/>
                <w:sz w:val="22"/>
                <w:szCs w:val="22"/>
              </w:rPr>
            </w:pPr>
            <w:r w:rsidRPr="000041BA">
              <w:rPr>
                <w:rFonts w:eastAsia="Times New Roman"/>
                <w:b/>
                <w:bCs/>
                <w:color w:val="000000"/>
                <w:sz w:val="22"/>
                <w:szCs w:val="22"/>
              </w:rPr>
              <w:t>R</w:t>
            </w:r>
          </w:p>
        </w:tc>
      </w:tr>
      <w:tr w:rsidR="002F0C32" w:rsidRPr="002F0C32" w14:paraId="4386DE9D" w14:textId="77777777" w:rsidTr="002F0C32">
        <w:trPr>
          <w:trHeight w:val="300"/>
        </w:trPr>
        <w:tc>
          <w:tcPr>
            <w:tcW w:w="0" w:type="auto"/>
            <w:tcBorders>
              <w:top w:val="nil"/>
              <w:left w:val="nil"/>
              <w:bottom w:val="single" w:sz="4" w:space="0" w:color="auto"/>
              <w:right w:val="nil"/>
            </w:tcBorders>
            <w:shd w:val="clear" w:color="auto" w:fill="auto"/>
            <w:noWrap/>
            <w:vAlign w:val="center"/>
            <w:hideMark/>
          </w:tcPr>
          <w:p w14:paraId="3C6F44F7" w14:textId="77777777" w:rsidR="002F0C32" w:rsidRPr="000041BA" w:rsidRDefault="002F0C32" w:rsidP="002F0C32">
            <w:pPr>
              <w:jc w:val="center"/>
              <w:rPr>
                <w:rFonts w:eastAsia="Times New Roman"/>
                <w:b/>
                <w:bCs/>
                <w:color w:val="000000"/>
                <w:sz w:val="22"/>
                <w:szCs w:val="22"/>
              </w:rPr>
            </w:pPr>
            <w:r w:rsidRPr="000041BA">
              <w:rPr>
                <w:rFonts w:eastAsia="Times New Roman"/>
                <w:b/>
                <w:bCs/>
                <w:color w:val="000000"/>
                <w:sz w:val="22"/>
                <w:szCs w:val="22"/>
              </w:rPr>
              <w:t> </w:t>
            </w:r>
          </w:p>
        </w:tc>
        <w:tc>
          <w:tcPr>
            <w:tcW w:w="0" w:type="auto"/>
            <w:tcBorders>
              <w:top w:val="nil"/>
              <w:left w:val="nil"/>
              <w:bottom w:val="single" w:sz="4" w:space="0" w:color="auto"/>
              <w:right w:val="nil"/>
            </w:tcBorders>
            <w:shd w:val="clear" w:color="auto" w:fill="auto"/>
            <w:noWrap/>
            <w:vAlign w:val="center"/>
            <w:hideMark/>
          </w:tcPr>
          <w:p w14:paraId="13B59F0F" w14:textId="77777777" w:rsidR="002F0C32" w:rsidRPr="000041BA" w:rsidRDefault="002F0C32" w:rsidP="002F0C32">
            <w:pPr>
              <w:jc w:val="center"/>
              <w:rPr>
                <w:rFonts w:eastAsia="Times New Roman"/>
                <w:b/>
                <w:bCs/>
                <w:color w:val="000000"/>
                <w:sz w:val="22"/>
                <w:szCs w:val="22"/>
              </w:rPr>
            </w:pPr>
            <w:r w:rsidRPr="000041BA">
              <w:rPr>
                <w:rFonts w:eastAsia="Times New Roman"/>
                <w:b/>
                <w:bCs/>
                <w:color w:val="000000"/>
                <w:sz w:val="22"/>
                <w:szCs w:val="22"/>
              </w:rPr>
              <w:t> </w:t>
            </w:r>
          </w:p>
        </w:tc>
        <w:tc>
          <w:tcPr>
            <w:tcW w:w="0" w:type="auto"/>
            <w:tcBorders>
              <w:top w:val="nil"/>
              <w:left w:val="nil"/>
              <w:bottom w:val="single" w:sz="4" w:space="0" w:color="auto"/>
              <w:right w:val="nil"/>
            </w:tcBorders>
            <w:shd w:val="clear" w:color="auto" w:fill="auto"/>
            <w:noWrap/>
            <w:vAlign w:val="center"/>
            <w:hideMark/>
          </w:tcPr>
          <w:p w14:paraId="39A3C86F" w14:textId="77777777" w:rsidR="002F0C32" w:rsidRPr="000041BA" w:rsidRDefault="002F0C32" w:rsidP="002F0C32">
            <w:pPr>
              <w:jc w:val="center"/>
              <w:rPr>
                <w:rFonts w:eastAsia="Times New Roman"/>
                <w:b/>
                <w:bCs/>
                <w:color w:val="000000"/>
                <w:sz w:val="22"/>
                <w:szCs w:val="22"/>
              </w:rPr>
            </w:pPr>
            <w:r w:rsidRPr="000041BA">
              <w:rPr>
                <w:rFonts w:eastAsia="Times New Roman"/>
                <w:b/>
                <w:bCs/>
                <w:color w:val="000000"/>
                <w:sz w:val="22"/>
                <w:szCs w:val="22"/>
              </w:rPr>
              <w:t> </w:t>
            </w:r>
          </w:p>
        </w:tc>
        <w:tc>
          <w:tcPr>
            <w:tcW w:w="0" w:type="auto"/>
            <w:tcBorders>
              <w:top w:val="nil"/>
              <w:left w:val="nil"/>
              <w:bottom w:val="single" w:sz="4" w:space="0" w:color="auto"/>
              <w:right w:val="nil"/>
            </w:tcBorders>
            <w:shd w:val="clear" w:color="auto" w:fill="auto"/>
            <w:noWrap/>
            <w:vAlign w:val="center"/>
            <w:hideMark/>
          </w:tcPr>
          <w:p w14:paraId="5B4D16D3" w14:textId="0E88CEE0" w:rsidR="002F0C32" w:rsidRPr="000041BA" w:rsidRDefault="002F0C32" w:rsidP="002F0C32">
            <w:pPr>
              <w:jc w:val="center"/>
              <w:rPr>
                <w:rFonts w:eastAsia="Times New Roman"/>
                <w:b/>
                <w:bCs/>
                <w:color w:val="000000"/>
                <w:sz w:val="22"/>
                <w:szCs w:val="22"/>
              </w:rPr>
            </w:pPr>
            <w:r w:rsidRPr="000041BA">
              <w:rPr>
                <w:rFonts w:eastAsia="Times New Roman"/>
                <w:b/>
                <w:bCs/>
                <w:color w:val="000000"/>
                <w:sz w:val="22"/>
                <w:szCs w:val="22"/>
              </w:rPr>
              <w:t>TS</w:t>
            </w:r>
          </w:p>
        </w:tc>
        <w:tc>
          <w:tcPr>
            <w:tcW w:w="0" w:type="auto"/>
            <w:tcBorders>
              <w:top w:val="nil"/>
              <w:left w:val="nil"/>
              <w:bottom w:val="single" w:sz="4" w:space="0" w:color="auto"/>
              <w:right w:val="nil"/>
            </w:tcBorders>
            <w:shd w:val="clear" w:color="auto" w:fill="auto"/>
            <w:noWrap/>
            <w:vAlign w:val="center"/>
            <w:hideMark/>
          </w:tcPr>
          <w:p w14:paraId="377187F3" w14:textId="77777777" w:rsidR="002F0C32" w:rsidRPr="000041BA" w:rsidRDefault="002F0C32" w:rsidP="002F0C32">
            <w:pPr>
              <w:jc w:val="center"/>
              <w:rPr>
                <w:rFonts w:eastAsia="Times New Roman"/>
                <w:b/>
                <w:bCs/>
                <w:color w:val="000000"/>
                <w:sz w:val="22"/>
                <w:szCs w:val="22"/>
              </w:rPr>
            </w:pPr>
            <w:r w:rsidRPr="000041BA">
              <w:rPr>
                <w:rFonts w:eastAsia="Times New Roman"/>
                <w:b/>
                <w:bCs/>
                <w:color w:val="000000"/>
                <w:sz w:val="22"/>
                <w:szCs w:val="22"/>
              </w:rPr>
              <w:t>SOCAT</w:t>
            </w:r>
          </w:p>
        </w:tc>
        <w:tc>
          <w:tcPr>
            <w:tcW w:w="0" w:type="auto"/>
            <w:tcBorders>
              <w:top w:val="nil"/>
              <w:left w:val="nil"/>
              <w:bottom w:val="single" w:sz="4" w:space="0" w:color="auto"/>
              <w:right w:val="nil"/>
            </w:tcBorders>
            <w:shd w:val="clear" w:color="auto" w:fill="auto"/>
            <w:noWrap/>
            <w:vAlign w:val="center"/>
            <w:hideMark/>
          </w:tcPr>
          <w:p w14:paraId="19795351" w14:textId="618D2132" w:rsidR="002F0C32" w:rsidRPr="000041BA" w:rsidRDefault="002F0C32" w:rsidP="002F0C32">
            <w:pPr>
              <w:jc w:val="center"/>
              <w:rPr>
                <w:rFonts w:eastAsia="Times New Roman"/>
                <w:b/>
                <w:bCs/>
                <w:color w:val="000000"/>
                <w:sz w:val="22"/>
                <w:szCs w:val="22"/>
              </w:rPr>
            </w:pPr>
            <w:r w:rsidRPr="000041BA">
              <w:rPr>
                <w:rFonts w:eastAsia="Times New Roman"/>
                <w:b/>
                <w:bCs/>
                <w:color w:val="000000"/>
                <w:sz w:val="22"/>
                <w:szCs w:val="22"/>
              </w:rPr>
              <w:t>TS</w:t>
            </w:r>
          </w:p>
        </w:tc>
        <w:tc>
          <w:tcPr>
            <w:tcW w:w="0" w:type="auto"/>
            <w:tcBorders>
              <w:top w:val="nil"/>
              <w:left w:val="nil"/>
              <w:bottom w:val="single" w:sz="4" w:space="0" w:color="auto"/>
              <w:right w:val="nil"/>
            </w:tcBorders>
            <w:shd w:val="clear" w:color="auto" w:fill="auto"/>
            <w:noWrap/>
            <w:vAlign w:val="center"/>
            <w:hideMark/>
          </w:tcPr>
          <w:p w14:paraId="5E7DFC54" w14:textId="77777777" w:rsidR="002F0C32" w:rsidRPr="000041BA" w:rsidRDefault="002F0C32" w:rsidP="002F0C32">
            <w:pPr>
              <w:jc w:val="center"/>
              <w:rPr>
                <w:rFonts w:eastAsia="Times New Roman"/>
                <w:b/>
                <w:bCs/>
                <w:color w:val="000000"/>
                <w:sz w:val="22"/>
                <w:szCs w:val="22"/>
              </w:rPr>
            </w:pPr>
            <w:r w:rsidRPr="000041BA">
              <w:rPr>
                <w:rFonts w:eastAsia="Times New Roman"/>
                <w:b/>
                <w:bCs/>
                <w:color w:val="000000"/>
                <w:sz w:val="22"/>
                <w:szCs w:val="22"/>
              </w:rPr>
              <w:t>SOCAT</w:t>
            </w:r>
          </w:p>
        </w:tc>
        <w:tc>
          <w:tcPr>
            <w:tcW w:w="0" w:type="auto"/>
            <w:tcBorders>
              <w:top w:val="nil"/>
              <w:left w:val="nil"/>
              <w:bottom w:val="single" w:sz="4" w:space="0" w:color="auto"/>
              <w:right w:val="nil"/>
            </w:tcBorders>
            <w:shd w:val="clear" w:color="auto" w:fill="auto"/>
            <w:noWrap/>
            <w:vAlign w:val="center"/>
            <w:hideMark/>
          </w:tcPr>
          <w:p w14:paraId="2245FB4F" w14:textId="7E3F5693" w:rsidR="002F0C32" w:rsidRPr="000041BA" w:rsidRDefault="002F0C32" w:rsidP="002F0C32">
            <w:pPr>
              <w:jc w:val="center"/>
              <w:rPr>
                <w:rFonts w:eastAsia="Times New Roman"/>
                <w:b/>
                <w:bCs/>
                <w:color w:val="000000"/>
                <w:sz w:val="22"/>
                <w:szCs w:val="22"/>
              </w:rPr>
            </w:pPr>
            <w:r w:rsidRPr="000041BA">
              <w:rPr>
                <w:rFonts w:eastAsia="Times New Roman"/>
                <w:b/>
                <w:bCs/>
                <w:color w:val="000000"/>
                <w:sz w:val="22"/>
                <w:szCs w:val="22"/>
              </w:rPr>
              <w:t>TS</w:t>
            </w:r>
          </w:p>
        </w:tc>
        <w:tc>
          <w:tcPr>
            <w:tcW w:w="0" w:type="auto"/>
            <w:tcBorders>
              <w:top w:val="nil"/>
              <w:left w:val="nil"/>
              <w:bottom w:val="single" w:sz="4" w:space="0" w:color="auto"/>
              <w:right w:val="nil"/>
            </w:tcBorders>
            <w:shd w:val="clear" w:color="auto" w:fill="auto"/>
            <w:noWrap/>
            <w:vAlign w:val="center"/>
            <w:hideMark/>
          </w:tcPr>
          <w:p w14:paraId="71C6C28A" w14:textId="77777777" w:rsidR="002F0C32" w:rsidRPr="000041BA" w:rsidRDefault="002F0C32" w:rsidP="002F0C32">
            <w:pPr>
              <w:jc w:val="center"/>
              <w:rPr>
                <w:rFonts w:eastAsia="Times New Roman"/>
                <w:b/>
                <w:bCs/>
                <w:color w:val="000000"/>
                <w:sz w:val="22"/>
                <w:szCs w:val="22"/>
              </w:rPr>
            </w:pPr>
            <w:r w:rsidRPr="000041BA">
              <w:rPr>
                <w:rFonts w:eastAsia="Times New Roman"/>
                <w:b/>
                <w:bCs/>
                <w:color w:val="000000"/>
                <w:sz w:val="22"/>
                <w:szCs w:val="22"/>
              </w:rPr>
              <w:t>SOCAT</w:t>
            </w:r>
          </w:p>
        </w:tc>
        <w:tc>
          <w:tcPr>
            <w:tcW w:w="0" w:type="auto"/>
            <w:tcBorders>
              <w:top w:val="nil"/>
              <w:left w:val="nil"/>
              <w:bottom w:val="single" w:sz="4" w:space="0" w:color="auto"/>
              <w:right w:val="nil"/>
            </w:tcBorders>
            <w:shd w:val="clear" w:color="auto" w:fill="auto"/>
            <w:noWrap/>
            <w:vAlign w:val="center"/>
            <w:hideMark/>
          </w:tcPr>
          <w:p w14:paraId="712214DA" w14:textId="77777777" w:rsidR="002F0C32" w:rsidRPr="000041BA" w:rsidRDefault="002F0C32" w:rsidP="002F0C32">
            <w:pPr>
              <w:jc w:val="center"/>
              <w:rPr>
                <w:rFonts w:eastAsia="Times New Roman"/>
                <w:b/>
                <w:bCs/>
                <w:color w:val="000000"/>
                <w:sz w:val="22"/>
                <w:szCs w:val="22"/>
              </w:rPr>
            </w:pPr>
            <w:r w:rsidRPr="000041BA">
              <w:rPr>
                <w:rFonts w:eastAsia="Times New Roman"/>
                <w:b/>
                <w:bCs/>
                <w:color w:val="000000"/>
                <w:sz w:val="22"/>
                <w:szCs w:val="22"/>
              </w:rPr>
              <w:t> </w:t>
            </w:r>
          </w:p>
        </w:tc>
      </w:tr>
      <w:tr w:rsidR="000A4967" w:rsidRPr="002F0C32" w14:paraId="1D7013F1" w14:textId="77777777" w:rsidTr="002F0C32">
        <w:trPr>
          <w:trHeight w:val="300"/>
        </w:trPr>
        <w:tc>
          <w:tcPr>
            <w:tcW w:w="0" w:type="auto"/>
            <w:tcBorders>
              <w:top w:val="nil"/>
              <w:left w:val="nil"/>
              <w:bottom w:val="nil"/>
              <w:right w:val="nil"/>
            </w:tcBorders>
            <w:shd w:val="clear" w:color="auto" w:fill="auto"/>
            <w:noWrap/>
            <w:vAlign w:val="center"/>
            <w:hideMark/>
          </w:tcPr>
          <w:p w14:paraId="28170AC6" w14:textId="1053DFAC" w:rsidR="000A4967" w:rsidRPr="000041BA" w:rsidRDefault="000A4967" w:rsidP="002F0C32">
            <w:pPr>
              <w:rPr>
                <w:rFonts w:ascii="Tmes new" w:eastAsia="Times New Roman" w:hAnsi="Tmes new"/>
                <w:color w:val="000000"/>
                <w:sz w:val="22"/>
                <w:szCs w:val="22"/>
              </w:rPr>
            </w:pPr>
            <w:r w:rsidRPr="000041BA">
              <w:rPr>
                <w:rFonts w:ascii="Tmes new" w:eastAsia="Times New Roman" w:hAnsi="Tmes new"/>
                <w:color w:val="000000"/>
                <w:sz w:val="22"/>
                <w:szCs w:val="22"/>
              </w:rPr>
              <w:t>BATS</w:t>
            </w:r>
          </w:p>
        </w:tc>
        <w:tc>
          <w:tcPr>
            <w:tcW w:w="0" w:type="auto"/>
            <w:tcBorders>
              <w:top w:val="nil"/>
              <w:left w:val="nil"/>
              <w:bottom w:val="nil"/>
              <w:right w:val="nil"/>
            </w:tcBorders>
            <w:shd w:val="clear" w:color="auto" w:fill="auto"/>
            <w:noWrap/>
            <w:vAlign w:val="center"/>
            <w:hideMark/>
          </w:tcPr>
          <w:p w14:paraId="17050A53" w14:textId="7095A69E"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32°N</w:t>
            </w:r>
          </w:p>
        </w:tc>
        <w:tc>
          <w:tcPr>
            <w:tcW w:w="0" w:type="auto"/>
            <w:tcBorders>
              <w:top w:val="nil"/>
              <w:left w:val="nil"/>
              <w:bottom w:val="nil"/>
              <w:right w:val="nil"/>
            </w:tcBorders>
            <w:shd w:val="clear" w:color="auto" w:fill="auto"/>
            <w:noWrap/>
            <w:vAlign w:val="center"/>
            <w:hideMark/>
          </w:tcPr>
          <w:p w14:paraId="3769D510" w14:textId="20B13D0B"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64°W</w:t>
            </w:r>
          </w:p>
        </w:tc>
        <w:tc>
          <w:tcPr>
            <w:tcW w:w="0" w:type="auto"/>
            <w:tcBorders>
              <w:top w:val="nil"/>
              <w:left w:val="nil"/>
              <w:bottom w:val="nil"/>
              <w:right w:val="nil"/>
            </w:tcBorders>
            <w:shd w:val="clear" w:color="000000" w:fill="E7E6E6"/>
            <w:noWrap/>
            <w:vAlign w:val="center"/>
            <w:hideMark/>
          </w:tcPr>
          <w:p w14:paraId="721FA884" w14:textId="1CAE203D"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9.3</w:t>
            </w:r>
          </w:p>
        </w:tc>
        <w:tc>
          <w:tcPr>
            <w:tcW w:w="0" w:type="auto"/>
            <w:tcBorders>
              <w:top w:val="nil"/>
              <w:left w:val="nil"/>
              <w:bottom w:val="nil"/>
              <w:right w:val="nil"/>
            </w:tcBorders>
            <w:shd w:val="clear" w:color="auto" w:fill="auto"/>
            <w:noWrap/>
            <w:vAlign w:val="center"/>
            <w:hideMark/>
          </w:tcPr>
          <w:p w14:paraId="4390CAC3" w14:textId="23F64723"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9.4</w:t>
            </w:r>
          </w:p>
        </w:tc>
        <w:tc>
          <w:tcPr>
            <w:tcW w:w="0" w:type="auto"/>
            <w:tcBorders>
              <w:top w:val="nil"/>
              <w:left w:val="nil"/>
              <w:bottom w:val="nil"/>
              <w:right w:val="nil"/>
            </w:tcBorders>
            <w:shd w:val="clear" w:color="000000" w:fill="E7E6E6"/>
            <w:noWrap/>
            <w:vAlign w:val="center"/>
            <w:hideMark/>
          </w:tcPr>
          <w:p w14:paraId="24BF6997" w14:textId="24AC5730"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1971.4</w:t>
            </w:r>
          </w:p>
        </w:tc>
        <w:tc>
          <w:tcPr>
            <w:tcW w:w="0" w:type="auto"/>
            <w:tcBorders>
              <w:top w:val="nil"/>
              <w:left w:val="nil"/>
              <w:bottom w:val="nil"/>
              <w:right w:val="nil"/>
            </w:tcBorders>
            <w:shd w:val="clear" w:color="auto" w:fill="auto"/>
            <w:noWrap/>
            <w:vAlign w:val="center"/>
            <w:hideMark/>
          </w:tcPr>
          <w:p w14:paraId="5E429C05" w14:textId="57A75057"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1975.8</w:t>
            </w:r>
          </w:p>
        </w:tc>
        <w:tc>
          <w:tcPr>
            <w:tcW w:w="0" w:type="auto"/>
            <w:tcBorders>
              <w:top w:val="nil"/>
              <w:left w:val="nil"/>
              <w:bottom w:val="nil"/>
              <w:right w:val="nil"/>
            </w:tcBorders>
            <w:shd w:val="clear" w:color="000000" w:fill="E7E6E6"/>
            <w:noWrap/>
            <w:vAlign w:val="center"/>
            <w:hideMark/>
          </w:tcPr>
          <w:p w14:paraId="3C6867AC" w14:textId="552953A1"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8.09</w:t>
            </w:r>
          </w:p>
        </w:tc>
        <w:tc>
          <w:tcPr>
            <w:tcW w:w="0" w:type="auto"/>
            <w:tcBorders>
              <w:top w:val="nil"/>
              <w:left w:val="nil"/>
              <w:bottom w:val="nil"/>
              <w:right w:val="nil"/>
            </w:tcBorders>
            <w:shd w:val="clear" w:color="auto" w:fill="auto"/>
            <w:noWrap/>
            <w:vAlign w:val="center"/>
            <w:hideMark/>
          </w:tcPr>
          <w:p w14:paraId="0C5E14FE" w14:textId="42CD54A2"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8.08</w:t>
            </w:r>
          </w:p>
        </w:tc>
        <w:tc>
          <w:tcPr>
            <w:tcW w:w="0" w:type="auto"/>
            <w:tcBorders>
              <w:top w:val="nil"/>
              <w:left w:val="nil"/>
              <w:bottom w:val="nil"/>
              <w:right w:val="nil"/>
            </w:tcBorders>
            <w:shd w:val="clear" w:color="000000" w:fill="E7E6E6"/>
            <w:noWrap/>
            <w:vAlign w:val="center"/>
            <w:hideMark/>
          </w:tcPr>
          <w:p w14:paraId="10581025" w14:textId="31FD9C32"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1</w:t>
            </w:r>
          </w:p>
        </w:tc>
      </w:tr>
      <w:tr w:rsidR="000A4967" w:rsidRPr="002F0C32" w14:paraId="603CDB93" w14:textId="77777777" w:rsidTr="002F0C32">
        <w:trPr>
          <w:trHeight w:val="300"/>
        </w:trPr>
        <w:tc>
          <w:tcPr>
            <w:tcW w:w="0" w:type="auto"/>
            <w:tcBorders>
              <w:top w:val="nil"/>
              <w:left w:val="nil"/>
              <w:bottom w:val="nil"/>
              <w:right w:val="nil"/>
            </w:tcBorders>
            <w:shd w:val="clear" w:color="auto" w:fill="auto"/>
            <w:noWrap/>
            <w:vAlign w:val="center"/>
            <w:hideMark/>
          </w:tcPr>
          <w:p w14:paraId="6FB9B660" w14:textId="7CB88BCB" w:rsidR="000A4967" w:rsidRPr="000041BA" w:rsidRDefault="000A4967" w:rsidP="002F0C32">
            <w:pPr>
              <w:rPr>
                <w:rFonts w:ascii="Tmes new" w:eastAsia="Times New Roman" w:hAnsi="Tmes new"/>
                <w:color w:val="000000"/>
                <w:sz w:val="22"/>
                <w:szCs w:val="22"/>
              </w:rPr>
            </w:pPr>
            <w:r w:rsidRPr="000041BA">
              <w:rPr>
                <w:rFonts w:ascii="Tmes new" w:eastAsia="Times New Roman" w:hAnsi="Tmes new"/>
                <w:color w:val="000000"/>
                <w:sz w:val="22"/>
                <w:szCs w:val="22"/>
              </w:rPr>
              <w:t>HOT</w:t>
            </w:r>
          </w:p>
        </w:tc>
        <w:tc>
          <w:tcPr>
            <w:tcW w:w="0" w:type="auto"/>
            <w:tcBorders>
              <w:top w:val="nil"/>
              <w:left w:val="nil"/>
              <w:bottom w:val="nil"/>
              <w:right w:val="nil"/>
            </w:tcBorders>
            <w:shd w:val="clear" w:color="auto" w:fill="auto"/>
            <w:noWrap/>
            <w:vAlign w:val="center"/>
            <w:hideMark/>
          </w:tcPr>
          <w:p w14:paraId="4296790F" w14:textId="6B144B74"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22.75°N</w:t>
            </w:r>
          </w:p>
        </w:tc>
        <w:tc>
          <w:tcPr>
            <w:tcW w:w="0" w:type="auto"/>
            <w:tcBorders>
              <w:top w:val="nil"/>
              <w:left w:val="nil"/>
              <w:bottom w:val="nil"/>
              <w:right w:val="nil"/>
            </w:tcBorders>
            <w:shd w:val="clear" w:color="auto" w:fill="auto"/>
            <w:noWrap/>
            <w:vAlign w:val="center"/>
            <w:hideMark/>
          </w:tcPr>
          <w:p w14:paraId="21AF1BC7" w14:textId="760CB79E"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158°W</w:t>
            </w:r>
          </w:p>
        </w:tc>
        <w:tc>
          <w:tcPr>
            <w:tcW w:w="0" w:type="auto"/>
            <w:tcBorders>
              <w:top w:val="nil"/>
              <w:left w:val="nil"/>
              <w:bottom w:val="nil"/>
              <w:right w:val="nil"/>
            </w:tcBorders>
            <w:shd w:val="clear" w:color="000000" w:fill="E7E6E6"/>
            <w:noWrap/>
            <w:vAlign w:val="center"/>
            <w:hideMark/>
          </w:tcPr>
          <w:p w14:paraId="55C96746" w14:textId="01FCB325"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9.3</w:t>
            </w:r>
          </w:p>
        </w:tc>
        <w:tc>
          <w:tcPr>
            <w:tcW w:w="0" w:type="auto"/>
            <w:tcBorders>
              <w:top w:val="nil"/>
              <w:left w:val="nil"/>
              <w:bottom w:val="nil"/>
              <w:right w:val="nil"/>
            </w:tcBorders>
            <w:shd w:val="clear" w:color="auto" w:fill="auto"/>
            <w:noWrap/>
            <w:vAlign w:val="center"/>
            <w:hideMark/>
          </w:tcPr>
          <w:p w14:paraId="2A8BDB4C" w14:textId="54DB9FCB"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9.5</w:t>
            </w:r>
          </w:p>
        </w:tc>
        <w:tc>
          <w:tcPr>
            <w:tcW w:w="0" w:type="auto"/>
            <w:tcBorders>
              <w:top w:val="nil"/>
              <w:left w:val="nil"/>
              <w:bottom w:val="nil"/>
              <w:right w:val="nil"/>
            </w:tcBorders>
            <w:shd w:val="clear" w:color="000000" w:fill="E7E6E6"/>
            <w:noWrap/>
            <w:vAlign w:val="center"/>
            <w:hideMark/>
          </w:tcPr>
          <w:p w14:paraId="5268B78B" w14:textId="4AAA42A6"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1985.5</w:t>
            </w:r>
          </w:p>
        </w:tc>
        <w:tc>
          <w:tcPr>
            <w:tcW w:w="0" w:type="auto"/>
            <w:tcBorders>
              <w:top w:val="nil"/>
              <w:left w:val="nil"/>
              <w:bottom w:val="nil"/>
              <w:right w:val="nil"/>
            </w:tcBorders>
            <w:shd w:val="clear" w:color="auto" w:fill="auto"/>
            <w:noWrap/>
            <w:vAlign w:val="center"/>
            <w:hideMark/>
          </w:tcPr>
          <w:p w14:paraId="16562D89" w14:textId="21E77FD2"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1994.8</w:t>
            </w:r>
          </w:p>
        </w:tc>
        <w:tc>
          <w:tcPr>
            <w:tcW w:w="0" w:type="auto"/>
            <w:tcBorders>
              <w:top w:val="nil"/>
              <w:left w:val="nil"/>
              <w:bottom w:val="nil"/>
              <w:right w:val="nil"/>
            </w:tcBorders>
            <w:shd w:val="clear" w:color="000000" w:fill="E7E6E6"/>
            <w:noWrap/>
            <w:vAlign w:val="center"/>
            <w:hideMark/>
          </w:tcPr>
          <w:p w14:paraId="031D92AD" w14:textId="565ED5DA"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8.08</w:t>
            </w:r>
          </w:p>
        </w:tc>
        <w:tc>
          <w:tcPr>
            <w:tcW w:w="0" w:type="auto"/>
            <w:tcBorders>
              <w:top w:val="nil"/>
              <w:left w:val="nil"/>
              <w:bottom w:val="nil"/>
              <w:right w:val="nil"/>
            </w:tcBorders>
            <w:shd w:val="clear" w:color="auto" w:fill="auto"/>
            <w:noWrap/>
            <w:vAlign w:val="center"/>
            <w:hideMark/>
          </w:tcPr>
          <w:p w14:paraId="2090A947" w14:textId="7B98929A"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8.06</w:t>
            </w:r>
          </w:p>
        </w:tc>
        <w:tc>
          <w:tcPr>
            <w:tcW w:w="0" w:type="auto"/>
            <w:tcBorders>
              <w:top w:val="nil"/>
              <w:left w:val="nil"/>
              <w:bottom w:val="nil"/>
              <w:right w:val="nil"/>
            </w:tcBorders>
            <w:shd w:val="clear" w:color="000000" w:fill="E7E6E6"/>
            <w:noWrap/>
            <w:vAlign w:val="center"/>
            <w:hideMark/>
          </w:tcPr>
          <w:p w14:paraId="68BAC5A3" w14:textId="6D251BDC"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2</w:t>
            </w:r>
          </w:p>
        </w:tc>
      </w:tr>
      <w:tr w:rsidR="000A4967" w:rsidRPr="002F0C32" w14:paraId="18706378" w14:textId="77777777" w:rsidTr="002F0C32">
        <w:trPr>
          <w:trHeight w:val="300"/>
        </w:trPr>
        <w:tc>
          <w:tcPr>
            <w:tcW w:w="0" w:type="auto"/>
            <w:tcBorders>
              <w:top w:val="nil"/>
              <w:left w:val="nil"/>
              <w:bottom w:val="nil"/>
              <w:right w:val="nil"/>
            </w:tcBorders>
            <w:shd w:val="clear" w:color="auto" w:fill="auto"/>
            <w:noWrap/>
            <w:vAlign w:val="center"/>
            <w:hideMark/>
          </w:tcPr>
          <w:p w14:paraId="19C07CAF" w14:textId="06C329B0" w:rsidR="000A4967" w:rsidRPr="000041BA" w:rsidRDefault="000A4967" w:rsidP="002F0C32">
            <w:pPr>
              <w:rPr>
                <w:rFonts w:ascii="Tmes new" w:eastAsia="Times New Roman" w:hAnsi="Tmes new"/>
                <w:color w:val="000000"/>
                <w:sz w:val="22"/>
                <w:szCs w:val="22"/>
              </w:rPr>
            </w:pPr>
            <w:r w:rsidRPr="000041BA">
              <w:rPr>
                <w:rFonts w:ascii="Tmes new" w:eastAsia="Times New Roman" w:hAnsi="Tmes new"/>
                <w:color w:val="000000"/>
                <w:sz w:val="22"/>
                <w:szCs w:val="22"/>
              </w:rPr>
              <w:t>OSP</w:t>
            </w:r>
          </w:p>
        </w:tc>
        <w:tc>
          <w:tcPr>
            <w:tcW w:w="0" w:type="auto"/>
            <w:tcBorders>
              <w:top w:val="nil"/>
              <w:left w:val="nil"/>
              <w:bottom w:val="nil"/>
              <w:right w:val="nil"/>
            </w:tcBorders>
            <w:shd w:val="clear" w:color="auto" w:fill="auto"/>
            <w:noWrap/>
            <w:vAlign w:val="center"/>
            <w:hideMark/>
          </w:tcPr>
          <w:p w14:paraId="087BF6BB" w14:textId="40646EE5"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50°N</w:t>
            </w:r>
          </w:p>
        </w:tc>
        <w:tc>
          <w:tcPr>
            <w:tcW w:w="0" w:type="auto"/>
            <w:tcBorders>
              <w:top w:val="nil"/>
              <w:left w:val="nil"/>
              <w:bottom w:val="nil"/>
              <w:right w:val="nil"/>
            </w:tcBorders>
            <w:shd w:val="clear" w:color="auto" w:fill="auto"/>
            <w:noWrap/>
            <w:vAlign w:val="center"/>
            <w:hideMark/>
          </w:tcPr>
          <w:p w14:paraId="16B51D68" w14:textId="430A516A"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145°W</w:t>
            </w:r>
          </w:p>
        </w:tc>
        <w:tc>
          <w:tcPr>
            <w:tcW w:w="0" w:type="auto"/>
            <w:tcBorders>
              <w:top w:val="nil"/>
              <w:left w:val="nil"/>
              <w:bottom w:val="nil"/>
              <w:right w:val="nil"/>
            </w:tcBorders>
            <w:shd w:val="clear" w:color="000000" w:fill="E7E6E6"/>
            <w:noWrap/>
            <w:vAlign w:val="center"/>
            <w:hideMark/>
          </w:tcPr>
          <w:p w14:paraId="3D35DE79" w14:textId="65D24A1A"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13.4</w:t>
            </w:r>
          </w:p>
        </w:tc>
        <w:tc>
          <w:tcPr>
            <w:tcW w:w="0" w:type="auto"/>
            <w:tcBorders>
              <w:top w:val="nil"/>
              <w:left w:val="nil"/>
              <w:bottom w:val="nil"/>
              <w:right w:val="nil"/>
            </w:tcBorders>
            <w:shd w:val="clear" w:color="auto" w:fill="auto"/>
            <w:noWrap/>
            <w:vAlign w:val="center"/>
            <w:hideMark/>
          </w:tcPr>
          <w:p w14:paraId="56A48A91" w14:textId="5630F496"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13.3</w:t>
            </w:r>
          </w:p>
        </w:tc>
        <w:tc>
          <w:tcPr>
            <w:tcW w:w="0" w:type="auto"/>
            <w:tcBorders>
              <w:top w:val="nil"/>
              <w:left w:val="nil"/>
              <w:bottom w:val="nil"/>
              <w:right w:val="nil"/>
            </w:tcBorders>
            <w:shd w:val="clear" w:color="000000" w:fill="E7E6E6"/>
            <w:noWrap/>
            <w:vAlign w:val="center"/>
            <w:hideMark/>
          </w:tcPr>
          <w:p w14:paraId="0164C8E0" w14:textId="13031AA8"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2185.1</w:t>
            </w:r>
          </w:p>
        </w:tc>
        <w:tc>
          <w:tcPr>
            <w:tcW w:w="0" w:type="auto"/>
            <w:tcBorders>
              <w:top w:val="nil"/>
              <w:left w:val="nil"/>
              <w:bottom w:val="nil"/>
              <w:right w:val="nil"/>
            </w:tcBorders>
            <w:shd w:val="clear" w:color="auto" w:fill="auto"/>
            <w:noWrap/>
            <w:vAlign w:val="center"/>
            <w:hideMark/>
          </w:tcPr>
          <w:p w14:paraId="127AF7F1" w14:textId="355F4FEA"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2181.9</w:t>
            </w:r>
          </w:p>
        </w:tc>
        <w:tc>
          <w:tcPr>
            <w:tcW w:w="0" w:type="auto"/>
            <w:tcBorders>
              <w:top w:val="nil"/>
              <w:left w:val="nil"/>
              <w:bottom w:val="nil"/>
              <w:right w:val="nil"/>
            </w:tcBorders>
            <w:shd w:val="clear" w:color="000000" w:fill="E7E6E6"/>
            <w:noWrap/>
            <w:vAlign w:val="center"/>
            <w:hideMark/>
          </w:tcPr>
          <w:p w14:paraId="1286A5BB" w14:textId="4F8D5317"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8.05</w:t>
            </w:r>
          </w:p>
        </w:tc>
        <w:tc>
          <w:tcPr>
            <w:tcW w:w="0" w:type="auto"/>
            <w:tcBorders>
              <w:top w:val="nil"/>
              <w:left w:val="nil"/>
              <w:bottom w:val="nil"/>
              <w:right w:val="nil"/>
            </w:tcBorders>
            <w:shd w:val="clear" w:color="auto" w:fill="auto"/>
            <w:noWrap/>
            <w:vAlign w:val="center"/>
            <w:hideMark/>
          </w:tcPr>
          <w:p w14:paraId="5290B95B" w14:textId="12A7EC4F"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8.06</w:t>
            </w:r>
          </w:p>
        </w:tc>
        <w:tc>
          <w:tcPr>
            <w:tcW w:w="0" w:type="auto"/>
            <w:tcBorders>
              <w:top w:val="nil"/>
              <w:left w:val="nil"/>
              <w:bottom w:val="nil"/>
              <w:right w:val="nil"/>
            </w:tcBorders>
            <w:shd w:val="clear" w:color="000000" w:fill="E7E6E6"/>
            <w:noWrap/>
            <w:vAlign w:val="center"/>
            <w:hideMark/>
          </w:tcPr>
          <w:p w14:paraId="1523C605" w14:textId="498589EB"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3</w:t>
            </w:r>
          </w:p>
        </w:tc>
      </w:tr>
      <w:tr w:rsidR="000A4967" w:rsidRPr="002F0C32" w14:paraId="661C3A64" w14:textId="77777777" w:rsidTr="002F0C32">
        <w:trPr>
          <w:trHeight w:val="300"/>
        </w:trPr>
        <w:tc>
          <w:tcPr>
            <w:tcW w:w="0" w:type="auto"/>
            <w:tcBorders>
              <w:top w:val="nil"/>
              <w:left w:val="nil"/>
              <w:bottom w:val="nil"/>
              <w:right w:val="nil"/>
            </w:tcBorders>
            <w:shd w:val="clear" w:color="auto" w:fill="auto"/>
            <w:noWrap/>
            <w:vAlign w:val="center"/>
            <w:hideMark/>
          </w:tcPr>
          <w:p w14:paraId="2AA4A82B" w14:textId="2450EFD4" w:rsidR="000A4967" w:rsidRPr="000041BA" w:rsidRDefault="000A4967" w:rsidP="002F0C32">
            <w:pPr>
              <w:rPr>
                <w:rFonts w:ascii="Tmes new" w:eastAsia="Times New Roman" w:hAnsi="Tmes new"/>
                <w:color w:val="000000"/>
                <w:sz w:val="22"/>
                <w:szCs w:val="22"/>
              </w:rPr>
            </w:pPr>
            <w:r w:rsidRPr="000041BA">
              <w:rPr>
                <w:rFonts w:ascii="Tmes new" w:eastAsia="Times New Roman" w:hAnsi="Tmes new"/>
                <w:color w:val="000000"/>
                <w:sz w:val="22"/>
                <w:szCs w:val="22"/>
              </w:rPr>
              <w:t>KEO</w:t>
            </w:r>
          </w:p>
        </w:tc>
        <w:tc>
          <w:tcPr>
            <w:tcW w:w="0" w:type="auto"/>
            <w:tcBorders>
              <w:top w:val="nil"/>
              <w:left w:val="nil"/>
              <w:bottom w:val="nil"/>
              <w:right w:val="nil"/>
            </w:tcBorders>
            <w:shd w:val="clear" w:color="auto" w:fill="auto"/>
            <w:noWrap/>
            <w:vAlign w:val="center"/>
            <w:hideMark/>
          </w:tcPr>
          <w:p w14:paraId="09D44E98" w14:textId="2988ED46"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32.3°N</w:t>
            </w:r>
          </w:p>
        </w:tc>
        <w:tc>
          <w:tcPr>
            <w:tcW w:w="0" w:type="auto"/>
            <w:tcBorders>
              <w:top w:val="nil"/>
              <w:left w:val="nil"/>
              <w:bottom w:val="nil"/>
              <w:right w:val="nil"/>
            </w:tcBorders>
            <w:shd w:val="clear" w:color="auto" w:fill="auto"/>
            <w:noWrap/>
            <w:vAlign w:val="center"/>
            <w:hideMark/>
          </w:tcPr>
          <w:p w14:paraId="30D7CFF2" w14:textId="6E30AD2B"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144.5°E</w:t>
            </w:r>
          </w:p>
        </w:tc>
        <w:tc>
          <w:tcPr>
            <w:tcW w:w="0" w:type="auto"/>
            <w:tcBorders>
              <w:top w:val="nil"/>
              <w:left w:val="nil"/>
              <w:bottom w:val="nil"/>
              <w:right w:val="nil"/>
            </w:tcBorders>
            <w:shd w:val="clear" w:color="000000" w:fill="E7E6E6"/>
            <w:noWrap/>
            <w:vAlign w:val="center"/>
            <w:hideMark/>
          </w:tcPr>
          <w:p w14:paraId="62514FA1" w14:textId="5AB9D4FC"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9.7</w:t>
            </w:r>
          </w:p>
        </w:tc>
        <w:tc>
          <w:tcPr>
            <w:tcW w:w="0" w:type="auto"/>
            <w:tcBorders>
              <w:top w:val="nil"/>
              <w:left w:val="nil"/>
              <w:bottom w:val="nil"/>
              <w:right w:val="nil"/>
            </w:tcBorders>
            <w:shd w:val="clear" w:color="auto" w:fill="auto"/>
            <w:noWrap/>
            <w:vAlign w:val="center"/>
            <w:hideMark/>
          </w:tcPr>
          <w:p w14:paraId="6468AFB9" w14:textId="1B0CAF8F"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9.6</w:t>
            </w:r>
          </w:p>
        </w:tc>
        <w:tc>
          <w:tcPr>
            <w:tcW w:w="0" w:type="auto"/>
            <w:tcBorders>
              <w:top w:val="nil"/>
              <w:left w:val="nil"/>
              <w:bottom w:val="nil"/>
              <w:right w:val="nil"/>
            </w:tcBorders>
            <w:shd w:val="clear" w:color="000000" w:fill="E7E6E6"/>
            <w:noWrap/>
            <w:vAlign w:val="center"/>
            <w:hideMark/>
          </w:tcPr>
          <w:p w14:paraId="1F2A3D0D" w14:textId="3551CB96"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2003.5</w:t>
            </w:r>
          </w:p>
        </w:tc>
        <w:tc>
          <w:tcPr>
            <w:tcW w:w="0" w:type="auto"/>
            <w:tcBorders>
              <w:top w:val="nil"/>
              <w:left w:val="nil"/>
              <w:bottom w:val="nil"/>
              <w:right w:val="nil"/>
            </w:tcBorders>
            <w:shd w:val="clear" w:color="auto" w:fill="auto"/>
            <w:noWrap/>
            <w:vAlign w:val="center"/>
            <w:hideMark/>
          </w:tcPr>
          <w:p w14:paraId="3274E454" w14:textId="6898AB68"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1994.6</w:t>
            </w:r>
          </w:p>
        </w:tc>
        <w:tc>
          <w:tcPr>
            <w:tcW w:w="0" w:type="auto"/>
            <w:tcBorders>
              <w:top w:val="nil"/>
              <w:left w:val="nil"/>
              <w:bottom w:val="nil"/>
              <w:right w:val="nil"/>
            </w:tcBorders>
            <w:shd w:val="clear" w:color="000000" w:fill="E7E6E6"/>
            <w:noWrap/>
            <w:vAlign w:val="center"/>
            <w:hideMark/>
          </w:tcPr>
          <w:p w14:paraId="496844BB" w14:textId="18E211FF"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8.08</w:t>
            </w:r>
          </w:p>
        </w:tc>
        <w:tc>
          <w:tcPr>
            <w:tcW w:w="0" w:type="auto"/>
            <w:tcBorders>
              <w:top w:val="nil"/>
              <w:left w:val="nil"/>
              <w:bottom w:val="nil"/>
              <w:right w:val="nil"/>
            </w:tcBorders>
            <w:shd w:val="clear" w:color="auto" w:fill="auto"/>
            <w:noWrap/>
            <w:vAlign w:val="center"/>
            <w:hideMark/>
          </w:tcPr>
          <w:p w14:paraId="40218816" w14:textId="2B301B82" w:rsidR="000A4967" w:rsidRPr="000041BA" w:rsidRDefault="000A4967"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8.09</w:t>
            </w:r>
          </w:p>
        </w:tc>
        <w:tc>
          <w:tcPr>
            <w:tcW w:w="0" w:type="auto"/>
            <w:tcBorders>
              <w:top w:val="nil"/>
              <w:left w:val="nil"/>
              <w:bottom w:val="nil"/>
              <w:right w:val="nil"/>
            </w:tcBorders>
            <w:shd w:val="clear" w:color="000000" w:fill="E7E6E6"/>
            <w:noWrap/>
            <w:vAlign w:val="center"/>
            <w:hideMark/>
          </w:tcPr>
          <w:p w14:paraId="616E78C6" w14:textId="7009E569" w:rsidR="000A4967" w:rsidRPr="000041BA" w:rsidRDefault="00E01E60" w:rsidP="002F0C32">
            <w:pPr>
              <w:jc w:val="center"/>
              <w:rPr>
                <w:rFonts w:ascii="Tmes new" w:eastAsia="Times New Roman" w:hAnsi="Tmes new"/>
                <w:color w:val="000000"/>
                <w:sz w:val="22"/>
                <w:szCs w:val="22"/>
              </w:rPr>
            </w:pPr>
            <w:r>
              <w:rPr>
                <w:rFonts w:ascii="Tmes new" w:eastAsia="Times New Roman" w:hAnsi="Tmes new"/>
                <w:color w:val="000000"/>
                <w:sz w:val="22"/>
                <w:szCs w:val="22"/>
              </w:rPr>
              <w:t>3</w:t>
            </w:r>
          </w:p>
        </w:tc>
      </w:tr>
      <w:tr w:rsidR="00D652A5" w:rsidRPr="002F0C32" w14:paraId="5494E70B" w14:textId="77777777" w:rsidTr="002F0C32">
        <w:trPr>
          <w:trHeight w:val="300"/>
        </w:trPr>
        <w:tc>
          <w:tcPr>
            <w:tcW w:w="0" w:type="auto"/>
            <w:tcBorders>
              <w:top w:val="nil"/>
              <w:left w:val="nil"/>
              <w:bottom w:val="nil"/>
              <w:right w:val="nil"/>
            </w:tcBorders>
            <w:shd w:val="clear" w:color="auto" w:fill="auto"/>
            <w:noWrap/>
            <w:vAlign w:val="center"/>
            <w:hideMark/>
          </w:tcPr>
          <w:p w14:paraId="63F8EED5" w14:textId="12FE20B6" w:rsidR="00D652A5" w:rsidRPr="000041BA" w:rsidRDefault="00D652A5" w:rsidP="002F0C32">
            <w:pPr>
              <w:rPr>
                <w:rFonts w:ascii="Tmes new" w:eastAsia="Times New Roman" w:hAnsi="Tmes new"/>
                <w:color w:val="000000"/>
                <w:sz w:val="22"/>
                <w:szCs w:val="22"/>
              </w:rPr>
            </w:pPr>
            <w:r w:rsidRPr="000041BA">
              <w:rPr>
                <w:rFonts w:ascii="Tmes new" w:eastAsia="Times New Roman" w:hAnsi="Tmes new"/>
                <w:color w:val="000000"/>
                <w:sz w:val="22"/>
                <w:szCs w:val="22"/>
              </w:rPr>
              <w:t>SO Region 1</w:t>
            </w:r>
          </w:p>
        </w:tc>
        <w:tc>
          <w:tcPr>
            <w:tcW w:w="0" w:type="auto"/>
            <w:tcBorders>
              <w:top w:val="nil"/>
              <w:left w:val="nil"/>
              <w:bottom w:val="nil"/>
              <w:right w:val="nil"/>
            </w:tcBorders>
            <w:shd w:val="clear" w:color="auto" w:fill="auto"/>
            <w:noWrap/>
            <w:vAlign w:val="center"/>
            <w:hideMark/>
          </w:tcPr>
          <w:p w14:paraId="5FEF5FC8" w14:textId="4D44FF38" w:rsidR="00D652A5" w:rsidRPr="000041BA" w:rsidRDefault="00D652A5"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57°S</w:t>
            </w:r>
          </w:p>
        </w:tc>
        <w:tc>
          <w:tcPr>
            <w:tcW w:w="0" w:type="auto"/>
            <w:tcBorders>
              <w:top w:val="nil"/>
              <w:left w:val="nil"/>
              <w:bottom w:val="nil"/>
              <w:right w:val="nil"/>
            </w:tcBorders>
            <w:shd w:val="clear" w:color="auto" w:fill="auto"/>
            <w:noWrap/>
            <w:vAlign w:val="center"/>
            <w:hideMark/>
          </w:tcPr>
          <w:p w14:paraId="7D3A65E7" w14:textId="77A20065" w:rsidR="00D652A5" w:rsidRPr="000041BA" w:rsidRDefault="00D652A5"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64°W</w:t>
            </w:r>
          </w:p>
        </w:tc>
        <w:tc>
          <w:tcPr>
            <w:tcW w:w="0" w:type="auto"/>
            <w:tcBorders>
              <w:top w:val="nil"/>
              <w:left w:val="nil"/>
              <w:bottom w:val="nil"/>
              <w:right w:val="nil"/>
            </w:tcBorders>
            <w:shd w:val="clear" w:color="000000" w:fill="E7E6E6"/>
            <w:noWrap/>
            <w:vAlign w:val="bottom"/>
            <w:hideMark/>
          </w:tcPr>
          <w:p w14:paraId="44643E7C" w14:textId="29498114" w:rsidR="00D652A5" w:rsidRPr="000041BA" w:rsidRDefault="00D652A5"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14.0</w:t>
            </w:r>
          </w:p>
        </w:tc>
        <w:tc>
          <w:tcPr>
            <w:tcW w:w="0" w:type="auto"/>
            <w:tcBorders>
              <w:top w:val="nil"/>
              <w:left w:val="nil"/>
              <w:bottom w:val="nil"/>
              <w:right w:val="nil"/>
            </w:tcBorders>
            <w:shd w:val="clear" w:color="auto" w:fill="auto"/>
            <w:noWrap/>
            <w:vAlign w:val="bottom"/>
            <w:hideMark/>
          </w:tcPr>
          <w:p w14:paraId="54BE06B8" w14:textId="14BFFE42" w:rsidR="00D652A5" w:rsidRPr="000041BA" w:rsidRDefault="00D652A5" w:rsidP="00440042">
            <w:pPr>
              <w:jc w:val="center"/>
              <w:rPr>
                <w:rFonts w:ascii="Tmes new" w:eastAsia="Times New Roman" w:hAnsi="Tmes new"/>
                <w:color w:val="000000"/>
                <w:sz w:val="22"/>
                <w:szCs w:val="22"/>
              </w:rPr>
            </w:pPr>
            <w:r w:rsidRPr="000041BA">
              <w:rPr>
                <w:rFonts w:ascii="Tmes new" w:eastAsia="Times New Roman" w:hAnsi="Tmes new"/>
                <w:color w:val="000000"/>
                <w:sz w:val="22"/>
                <w:szCs w:val="22"/>
              </w:rPr>
              <w:t>1</w:t>
            </w:r>
            <w:r>
              <w:rPr>
                <w:rFonts w:ascii="Tmes new" w:eastAsia="Times New Roman" w:hAnsi="Tmes new"/>
                <w:color w:val="000000"/>
                <w:sz w:val="22"/>
                <w:szCs w:val="22"/>
              </w:rPr>
              <w:t>4</w:t>
            </w:r>
            <w:r w:rsidRPr="000041BA">
              <w:rPr>
                <w:rFonts w:ascii="Tmes new" w:eastAsia="Times New Roman" w:hAnsi="Tmes new"/>
                <w:color w:val="000000"/>
                <w:sz w:val="22"/>
                <w:szCs w:val="22"/>
              </w:rPr>
              <w:t>.</w:t>
            </w:r>
            <w:r>
              <w:rPr>
                <w:rFonts w:ascii="Tmes new" w:eastAsia="Times New Roman" w:hAnsi="Tmes new"/>
                <w:color w:val="000000"/>
                <w:sz w:val="22"/>
                <w:szCs w:val="22"/>
              </w:rPr>
              <w:t>5</w:t>
            </w:r>
          </w:p>
        </w:tc>
        <w:tc>
          <w:tcPr>
            <w:tcW w:w="0" w:type="auto"/>
            <w:tcBorders>
              <w:top w:val="nil"/>
              <w:left w:val="nil"/>
              <w:bottom w:val="nil"/>
              <w:right w:val="nil"/>
            </w:tcBorders>
            <w:shd w:val="clear" w:color="000000" w:fill="E7E6E6"/>
            <w:noWrap/>
            <w:vAlign w:val="bottom"/>
            <w:hideMark/>
          </w:tcPr>
          <w:p w14:paraId="19149B5C" w14:textId="4558E95F" w:rsidR="00D652A5" w:rsidRPr="000041BA" w:rsidRDefault="00D652A5"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2181.7</w:t>
            </w:r>
          </w:p>
        </w:tc>
        <w:tc>
          <w:tcPr>
            <w:tcW w:w="0" w:type="auto"/>
            <w:tcBorders>
              <w:top w:val="nil"/>
              <w:left w:val="nil"/>
              <w:bottom w:val="nil"/>
              <w:right w:val="nil"/>
            </w:tcBorders>
            <w:shd w:val="clear" w:color="auto" w:fill="auto"/>
            <w:noWrap/>
            <w:vAlign w:val="bottom"/>
            <w:hideMark/>
          </w:tcPr>
          <w:p w14:paraId="4698DC15" w14:textId="2489F14F" w:rsidR="00D652A5" w:rsidRPr="000041BA" w:rsidRDefault="00D652A5" w:rsidP="002F0C32">
            <w:pPr>
              <w:jc w:val="center"/>
              <w:rPr>
                <w:rFonts w:ascii="Tmes new" w:eastAsia="Times New Roman" w:hAnsi="Tmes new"/>
                <w:color w:val="000000"/>
                <w:sz w:val="22"/>
                <w:szCs w:val="22"/>
              </w:rPr>
            </w:pPr>
            <w:r>
              <w:rPr>
                <w:rFonts w:ascii="Tmes new" w:eastAsia="Times New Roman" w:hAnsi="Tmes new"/>
                <w:color w:val="000000"/>
                <w:sz w:val="22"/>
                <w:szCs w:val="22"/>
              </w:rPr>
              <w:t>2226.9</w:t>
            </w:r>
          </w:p>
        </w:tc>
        <w:tc>
          <w:tcPr>
            <w:tcW w:w="0" w:type="auto"/>
            <w:tcBorders>
              <w:top w:val="nil"/>
              <w:left w:val="nil"/>
              <w:bottom w:val="nil"/>
              <w:right w:val="nil"/>
            </w:tcBorders>
            <w:shd w:val="clear" w:color="000000" w:fill="E7E6E6"/>
            <w:noWrap/>
            <w:vAlign w:val="bottom"/>
            <w:hideMark/>
          </w:tcPr>
          <w:p w14:paraId="713FEC4A" w14:textId="3C828CF3" w:rsidR="00D652A5" w:rsidRPr="000041BA" w:rsidRDefault="00D652A5"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8.06</w:t>
            </w:r>
          </w:p>
        </w:tc>
        <w:tc>
          <w:tcPr>
            <w:tcW w:w="0" w:type="auto"/>
            <w:tcBorders>
              <w:top w:val="nil"/>
              <w:left w:val="nil"/>
              <w:bottom w:val="nil"/>
              <w:right w:val="nil"/>
            </w:tcBorders>
            <w:shd w:val="clear" w:color="auto" w:fill="auto"/>
            <w:noWrap/>
            <w:vAlign w:val="bottom"/>
            <w:hideMark/>
          </w:tcPr>
          <w:p w14:paraId="3C58CAD8" w14:textId="5AFB3A8A" w:rsidR="00D652A5" w:rsidRPr="000041BA" w:rsidRDefault="00D652A5" w:rsidP="00D652A5">
            <w:pPr>
              <w:jc w:val="center"/>
              <w:rPr>
                <w:rFonts w:ascii="Tmes new" w:eastAsia="Times New Roman" w:hAnsi="Tmes new"/>
                <w:color w:val="000000"/>
                <w:sz w:val="22"/>
                <w:szCs w:val="22"/>
              </w:rPr>
            </w:pPr>
            <w:r w:rsidRPr="000041BA">
              <w:rPr>
                <w:rFonts w:ascii="Tmes new" w:eastAsia="Times New Roman" w:hAnsi="Tmes new"/>
                <w:color w:val="000000"/>
                <w:sz w:val="22"/>
                <w:szCs w:val="22"/>
              </w:rPr>
              <w:t>8.0</w:t>
            </w:r>
            <w:r>
              <w:rPr>
                <w:rFonts w:ascii="Tmes new" w:eastAsia="Times New Roman" w:hAnsi="Tmes new"/>
                <w:color w:val="000000"/>
                <w:sz w:val="22"/>
                <w:szCs w:val="22"/>
              </w:rPr>
              <w:t>6</w:t>
            </w:r>
          </w:p>
        </w:tc>
        <w:tc>
          <w:tcPr>
            <w:tcW w:w="0" w:type="auto"/>
            <w:tcBorders>
              <w:top w:val="nil"/>
              <w:left w:val="nil"/>
              <w:bottom w:val="nil"/>
              <w:right w:val="nil"/>
            </w:tcBorders>
            <w:shd w:val="clear" w:color="000000" w:fill="E7E6E6"/>
            <w:noWrap/>
            <w:vAlign w:val="bottom"/>
            <w:hideMark/>
          </w:tcPr>
          <w:p w14:paraId="356A92F7" w14:textId="59428156" w:rsidR="00D652A5" w:rsidRPr="000041BA" w:rsidRDefault="00D652A5" w:rsidP="002F0C32">
            <w:pPr>
              <w:jc w:val="center"/>
              <w:rPr>
                <w:rFonts w:ascii="Tmes new" w:eastAsia="Times New Roman" w:hAnsi="Tmes new"/>
                <w:color w:val="000000"/>
                <w:sz w:val="22"/>
                <w:szCs w:val="22"/>
              </w:rPr>
            </w:pPr>
            <w:r>
              <w:rPr>
                <w:rFonts w:ascii="Tmes new" w:eastAsia="Times New Roman" w:hAnsi="Tmes new"/>
                <w:color w:val="000000"/>
                <w:sz w:val="22"/>
                <w:szCs w:val="22"/>
              </w:rPr>
              <w:t>4</w:t>
            </w:r>
          </w:p>
        </w:tc>
      </w:tr>
      <w:tr w:rsidR="00D652A5" w:rsidRPr="002F0C32" w14:paraId="440F5423" w14:textId="77777777" w:rsidTr="002F0C32">
        <w:trPr>
          <w:trHeight w:val="300"/>
        </w:trPr>
        <w:tc>
          <w:tcPr>
            <w:tcW w:w="0" w:type="auto"/>
            <w:tcBorders>
              <w:top w:val="nil"/>
              <w:left w:val="nil"/>
              <w:bottom w:val="single" w:sz="4" w:space="0" w:color="auto"/>
              <w:right w:val="nil"/>
            </w:tcBorders>
            <w:shd w:val="clear" w:color="auto" w:fill="auto"/>
            <w:noWrap/>
            <w:vAlign w:val="center"/>
            <w:hideMark/>
          </w:tcPr>
          <w:p w14:paraId="6F707E9D" w14:textId="4937A522" w:rsidR="00D652A5" w:rsidRPr="000041BA" w:rsidRDefault="00D652A5" w:rsidP="002F0C32">
            <w:pPr>
              <w:rPr>
                <w:rFonts w:ascii="Tmes new" w:eastAsia="Times New Roman" w:hAnsi="Tmes new"/>
                <w:color w:val="000000"/>
                <w:sz w:val="22"/>
                <w:szCs w:val="22"/>
              </w:rPr>
            </w:pPr>
            <w:r w:rsidRPr="000041BA">
              <w:rPr>
                <w:rFonts w:ascii="Tmes new" w:eastAsia="Times New Roman" w:hAnsi="Tmes new"/>
                <w:color w:val="000000"/>
                <w:sz w:val="22"/>
                <w:szCs w:val="22"/>
              </w:rPr>
              <w:t>SO Region 4</w:t>
            </w:r>
          </w:p>
        </w:tc>
        <w:tc>
          <w:tcPr>
            <w:tcW w:w="0" w:type="auto"/>
            <w:tcBorders>
              <w:top w:val="nil"/>
              <w:left w:val="nil"/>
              <w:bottom w:val="single" w:sz="4" w:space="0" w:color="auto"/>
              <w:right w:val="nil"/>
            </w:tcBorders>
            <w:shd w:val="clear" w:color="auto" w:fill="auto"/>
            <w:noWrap/>
            <w:vAlign w:val="center"/>
            <w:hideMark/>
          </w:tcPr>
          <w:p w14:paraId="49B64346" w14:textId="486550B2" w:rsidR="00D652A5" w:rsidRPr="000041BA" w:rsidRDefault="00D652A5"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61.5°S</w:t>
            </w:r>
          </w:p>
        </w:tc>
        <w:tc>
          <w:tcPr>
            <w:tcW w:w="0" w:type="auto"/>
            <w:tcBorders>
              <w:top w:val="nil"/>
              <w:left w:val="nil"/>
              <w:bottom w:val="single" w:sz="4" w:space="0" w:color="auto"/>
              <w:right w:val="nil"/>
            </w:tcBorders>
            <w:shd w:val="clear" w:color="auto" w:fill="auto"/>
            <w:noWrap/>
            <w:vAlign w:val="center"/>
            <w:hideMark/>
          </w:tcPr>
          <w:p w14:paraId="703FA02E" w14:textId="294F2C4C" w:rsidR="00D652A5" w:rsidRPr="000041BA" w:rsidRDefault="00D652A5"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62°W</w:t>
            </w:r>
          </w:p>
        </w:tc>
        <w:tc>
          <w:tcPr>
            <w:tcW w:w="0" w:type="auto"/>
            <w:tcBorders>
              <w:top w:val="nil"/>
              <w:left w:val="nil"/>
              <w:bottom w:val="single" w:sz="4" w:space="0" w:color="auto"/>
              <w:right w:val="nil"/>
            </w:tcBorders>
            <w:shd w:val="clear" w:color="000000" w:fill="E7E6E6"/>
            <w:noWrap/>
            <w:vAlign w:val="bottom"/>
            <w:hideMark/>
          </w:tcPr>
          <w:p w14:paraId="53F0F70D" w14:textId="3F63E7B2" w:rsidR="00D652A5" w:rsidRPr="000041BA" w:rsidRDefault="00D652A5"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15.5</w:t>
            </w:r>
          </w:p>
        </w:tc>
        <w:tc>
          <w:tcPr>
            <w:tcW w:w="0" w:type="auto"/>
            <w:tcBorders>
              <w:top w:val="nil"/>
              <w:left w:val="nil"/>
              <w:bottom w:val="single" w:sz="4" w:space="0" w:color="auto"/>
              <w:right w:val="nil"/>
            </w:tcBorders>
            <w:shd w:val="clear" w:color="auto" w:fill="auto"/>
            <w:noWrap/>
            <w:vAlign w:val="bottom"/>
            <w:hideMark/>
          </w:tcPr>
          <w:p w14:paraId="5E428EC1" w14:textId="227C349A" w:rsidR="00D652A5" w:rsidRPr="000041BA" w:rsidRDefault="00D652A5" w:rsidP="00440042">
            <w:pPr>
              <w:jc w:val="center"/>
              <w:rPr>
                <w:rFonts w:ascii="Tmes new" w:eastAsia="Times New Roman" w:hAnsi="Tmes new"/>
                <w:color w:val="000000"/>
                <w:sz w:val="22"/>
                <w:szCs w:val="22"/>
              </w:rPr>
            </w:pPr>
            <w:r w:rsidRPr="000041BA">
              <w:rPr>
                <w:rFonts w:ascii="Tmes new" w:eastAsia="Times New Roman" w:hAnsi="Tmes new"/>
                <w:color w:val="000000"/>
                <w:sz w:val="22"/>
                <w:szCs w:val="22"/>
              </w:rPr>
              <w:t>1</w:t>
            </w:r>
            <w:r>
              <w:rPr>
                <w:rFonts w:ascii="Tmes new" w:eastAsia="Times New Roman" w:hAnsi="Tmes new"/>
                <w:color w:val="000000"/>
                <w:sz w:val="22"/>
                <w:szCs w:val="22"/>
              </w:rPr>
              <w:t>5</w:t>
            </w:r>
            <w:r w:rsidRPr="000041BA">
              <w:rPr>
                <w:rFonts w:ascii="Tmes new" w:eastAsia="Times New Roman" w:hAnsi="Tmes new"/>
                <w:color w:val="000000"/>
                <w:sz w:val="22"/>
                <w:szCs w:val="22"/>
              </w:rPr>
              <w:t>.</w:t>
            </w:r>
            <w:r>
              <w:rPr>
                <w:rFonts w:ascii="Tmes new" w:eastAsia="Times New Roman" w:hAnsi="Tmes new"/>
                <w:color w:val="000000"/>
                <w:sz w:val="22"/>
                <w:szCs w:val="22"/>
              </w:rPr>
              <w:t>3</w:t>
            </w:r>
          </w:p>
        </w:tc>
        <w:tc>
          <w:tcPr>
            <w:tcW w:w="0" w:type="auto"/>
            <w:tcBorders>
              <w:top w:val="nil"/>
              <w:left w:val="nil"/>
              <w:bottom w:val="single" w:sz="4" w:space="0" w:color="auto"/>
              <w:right w:val="nil"/>
            </w:tcBorders>
            <w:shd w:val="clear" w:color="000000" w:fill="E7E6E6"/>
            <w:noWrap/>
            <w:vAlign w:val="bottom"/>
            <w:hideMark/>
          </w:tcPr>
          <w:p w14:paraId="3A6B6492" w14:textId="7C875369" w:rsidR="00D652A5" w:rsidRPr="000041BA" w:rsidRDefault="00D652A5"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2233.3</w:t>
            </w:r>
          </w:p>
        </w:tc>
        <w:tc>
          <w:tcPr>
            <w:tcW w:w="0" w:type="auto"/>
            <w:tcBorders>
              <w:top w:val="nil"/>
              <w:left w:val="nil"/>
              <w:bottom w:val="single" w:sz="4" w:space="0" w:color="auto"/>
              <w:right w:val="nil"/>
            </w:tcBorders>
            <w:shd w:val="clear" w:color="auto" w:fill="auto"/>
            <w:noWrap/>
            <w:vAlign w:val="bottom"/>
            <w:hideMark/>
          </w:tcPr>
          <w:p w14:paraId="44FE0271" w14:textId="11FAB743" w:rsidR="00D652A5" w:rsidRPr="000041BA" w:rsidRDefault="00D652A5" w:rsidP="002F0C32">
            <w:pPr>
              <w:jc w:val="center"/>
              <w:rPr>
                <w:rFonts w:ascii="Tmes new" w:eastAsia="Times New Roman" w:hAnsi="Tmes new"/>
                <w:color w:val="000000"/>
                <w:sz w:val="22"/>
                <w:szCs w:val="22"/>
              </w:rPr>
            </w:pPr>
            <w:r>
              <w:rPr>
                <w:rFonts w:ascii="Tmes new" w:eastAsia="Times New Roman" w:hAnsi="Tmes new"/>
                <w:color w:val="000000"/>
                <w:sz w:val="22"/>
                <w:szCs w:val="22"/>
              </w:rPr>
              <w:t>2239.4</w:t>
            </w:r>
          </w:p>
        </w:tc>
        <w:tc>
          <w:tcPr>
            <w:tcW w:w="0" w:type="auto"/>
            <w:tcBorders>
              <w:top w:val="nil"/>
              <w:left w:val="nil"/>
              <w:bottom w:val="single" w:sz="4" w:space="0" w:color="auto"/>
              <w:right w:val="nil"/>
            </w:tcBorders>
            <w:shd w:val="clear" w:color="000000" w:fill="E7E6E6"/>
            <w:noWrap/>
            <w:vAlign w:val="bottom"/>
            <w:hideMark/>
          </w:tcPr>
          <w:p w14:paraId="5FB074E0" w14:textId="71E1EAAB" w:rsidR="00D652A5" w:rsidRPr="000041BA" w:rsidRDefault="00D652A5" w:rsidP="002F0C32">
            <w:pPr>
              <w:jc w:val="center"/>
              <w:rPr>
                <w:rFonts w:ascii="Tmes new" w:eastAsia="Times New Roman" w:hAnsi="Tmes new"/>
                <w:color w:val="000000"/>
                <w:sz w:val="22"/>
                <w:szCs w:val="22"/>
              </w:rPr>
            </w:pPr>
            <w:r w:rsidRPr="000041BA">
              <w:rPr>
                <w:rFonts w:ascii="Tmes new" w:eastAsia="Times New Roman" w:hAnsi="Tmes new"/>
                <w:color w:val="000000"/>
                <w:sz w:val="22"/>
                <w:szCs w:val="22"/>
              </w:rPr>
              <w:t>8.06</w:t>
            </w:r>
          </w:p>
        </w:tc>
        <w:tc>
          <w:tcPr>
            <w:tcW w:w="0" w:type="auto"/>
            <w:tcBorders>
              <w:top w:val="nil"/>
              <w:left w:val="nil"/>
              <w:bottom w:val="single" w:sz="4" w:space="0" w:color="auto"/>
              <w:right w:val="nil"/>
            </w:tcBorders>
            <w:shd w:val="clear" w:color="auto" w:fill="auto"/>
            <w:noWrap/>
            <w:vAlign w:val="bottom"/>
            <w:hideMark/>
          </w:tcPr>
          <w:p w14:paraId="0F80AEB0" w14:textId="5A554B79" w:rsidR="00D652A5" w:rsidRPr="000041BA" w:rsidRDefault="00D652A5" w:rsidP="00D652A5">
            <w:pPr>
              <w:jc w:val="center"/>
              <w:rPr>
                <w:rFonts w:ascii="Tmes new" w:eastAsia="Times New Roman" w:hAnsi="Tmes new"/>
                <w:color w:val="000000"/>
                <w:sz w:val="22"/>
                <w:szCs w:val="22"/>
              </w:rPr>
            </w:pPr>
            <w:r w:rsidRPr="000041BA">
              <w:rPr>
                <w:rFonts w:ascii="Tmes new" w:eastAsia="Times New Roman" w:hAnsi="Tmes new"/>
                <w:color w:val="000000"/>
                <w:sz w:val="22"/>
                <w:szCs w:val="22"/>
              </w:rPr>
              <w:t>8.</w:t>
            </w:r>
            <w:r>
              <w:rPr>
                <w:rFonts w:ascii="Tmes new" w:eastAsia="Times New Roman" w:hAnsi="Tmes new"/>
                <w:color w:val="000000"/>
                <w:sz w:val="22"/>
                <w:szCs w:val="22"/>
              </w:rPr>
              <w:t>06</w:t>
            </w:r>
          </w:p>
        </w:tc>
        <w:tc>
          <w:tcPr>
            <w:tcW w:w="0" w:type="auto"/>
            <w:tcBorders>
              <w:top w:val="nil"/>
              <w:left w:val="nil"/>
              <w:bottom w:val="single" w:sz="4" w:space="0" w:color="auto"/>
              <w:right w:val="nil"/>
            </w:tcBorders>
            <w:shd w:val="clear" w:color="000000" w:fill="E7E6E6"/>
            <w:noWrap/>
            <w:vAlign w:val="bottom"/>
            <w:hideMark/>
          </w:tcPr>
          <w:p w14:paraId="56BA4C56" w14:textId="35222FD3" w:rsidR="00D652A5" w:rsidRPr="000041BA" w:rsidRDefault="00D652A5" w:rsidP="002F0C32">
            <w:pPr>
              <w:jc w:val="center"/>
              <w:rPr>
                <w:rFonts w:ascii="Tmes new" w:eastAsia="Times New Roman" w:hAnsi="Tmes new"/>
                <w:color w:val="000000"/>
                <w:sz w:val="22"/>
                <w:szCs w:val="22"/>
              </w:rPr>
            </w:pPr>
            <w:r>
              <w:rPr>
                <w:rFonts w:ascii="Tmes new" w:eastAsia="Times New Roman" w:hAnsi="Tmes new"/>
                <w:color w:val="000000"/>
                <w:sz w:val="22"/>
                <w:szCs w:val="22"/>
              </w:rPr>
              <w:t>4</w:t>
            </w:r>
          </w:p>
        </w:tc>
      </w:tr>
    </w:tbl>
    <w:p w14:paraId="1FE2E08D" w14:textId="7C178AFB" w:rsidR="002D3BD0" w:rsidRPr="002F0C32" w:rsidRDefault="00623BE1" w:rsidP="00897393">
      <w:pPr>
        <w:spacing w:before="60"/>
        <w:jc w:val="both"/>
        <w:rPr>
          <w:rFonts w:eastAsia="Times New Roman"/>
          <w:bCs/>
        </w:rPr>
      </w:pPr>
      <w:r>
        <w:rPr>
          <w:rFonts w:eastAsia="Times New Roman"/>
          <w:bCs/>
          <w:vertAlign w:val="superscript"/>
        </w:rPr>
        <w:t>1</w:t>
      </w:r>
      <w:r w:rsidR="002D3BD0" w:rsidRPr="002F0C32">
        <w:rPr>
          <w:rFonts w:eastAsia="Times New Roman"/>
          <w:bCs/>
          <w:vertAlign w:val="superscript"/>
        </w:rPr>
        <w:t xml:space="preserve"> </w:t>
      </w:r>
      <w:hyperlink r:id="rId10" w:tgtFrame="_blank" w:history="1">
        <w:r w:rsidR="002D3BD0" w:rsidRPr="002F0C32">
          <w:rPr>
            <w:rStyle w:val="Hyperlink"/>
            <w:shd w:val="clear" w:color="auto" w:fill="FFFFFF"/>
          </w:rPr>
          <w:t>http://bats.bios.edu/</w:t>
        </w:r>
      </w:hyperlink>
    </w:p>
    <w:p w14:paraId="091149E6" w14:textId="455DC862" w:rsidR="002D3BD0" w:rsidRPr="002F0C32" w:rsidRDefault="00623BE1" w:rsidP="0026273B">
      <w:pPr>
        <w:contextualSpacing/>
        <w:jc w:val="both"/>
        <w:rPr>
          <w:rFonts w:eastAsia="Times New Roman"/>
          <w:bCs/>
          <w:vertAlign w:val="superscript"/>
        </w:rPr>
      </w:pPr>
      <w:r>
        <w:rPr>
          <w:rFonts w:eastAsia="Times New Roman"/>
          <w:bCs/>
          <w:vertAlign w:val="superscript"/>
        </w:rPr>
        <w:t>2</w:t>
      </w:r>
      <w:r w:rsidR="002D3BD0" w:rsidRPr="002F0C32">
        <w:rPr>
          <w:rFonts w:eastAsia="Times New Roman"/>
          <w:bCs/>
          <w:vertAlign w:val="superscript"/>
        </w:rPr>
        <w:t xml:space="preserve"> </w:t>
      </w:r>
      <w:hyperlink r:id="rId11" w:tgtFrame="_blank" w:history="1">
        <w:r w:rsidR="002D3BD0" w:rsidRPr="002F0C32">
          <w:rPr>
            <w:rStyle w:val="Hyperlink"/>
            <w:color w:val="1155CC"/>
            <w:shd w:val="clear" w:color="auto" w:fill="FFFFFF"/>
          </w:rPr>
          <w:t>http://hahana.soest.hawaii.edu/hot/hot-dogs/</w:t>
        </w:r>
      </w:hyperlink>
    </w:p>
    <w:p w14:paraId="06ECFE5B" w14:textId="40222A14" w:rsidR="00FB0C74" w:rsidRPr="002F0C32" w:rsidRDefault="00623BE1" w:rsidP="0026273B">
      <w:pPr>
        <w:contextualSpacing/>
        <w:jc w:val="both"/>
        <w:rPr>
          <w:rFonts w:eastAsia="Times New Roman"/>
          <w:bCs/>
          <w:color w:val="000000" w:themeColor="text1"/>
        </w:rPr>
      </w:pPr>
      <w:r>
        <w:rPr>
          <w:rFonts w:eastAsia="Times New Roman"/>
          <w:bCs/>
          <w:color w:val="000000" w:themeColor="text1"/>
          <w:vertAlign w:val="superscript"/>
        </w:rPr>
        <w:t>3</w:t>
      </w:r>
      <w:r w:rsidR="002F0C32" w:rsidRPr="002F0C32">
        <w:rPr>
          <w:rFonts w:eastAsia="Times New Roman"/>
          <w:bCs/>
          <w:color w:val="000000" w:themeColor="text1"/>
          <w:vertAlign w:val="superscript"/>
        </w:rPr>
        <w:t xml:space="preserve"> </w:t>
      </w:r>
      <w:hyperlink r:id="rId12" w:history="1">
        <w:r w:rsidR="00FB0C74" w:rsidRPr="002F0C32">
          <w:rPr>
            <w:rStyle w:val="Hyperlink"/>
            <w:rFonts w:eastAsia="Times New Roman"/>
            <w:bCs/>
          </w:rPr>
          <w:t>http://www.nodc.noaa.gov/ocads/index.html</w:t>
        </w:r>
      </w:hyperlink>
      <w:r w:rsidR="00FB0C74" w:rsidRPr="002F0C32">
        <w:rPr>
          <w:rFonts w:eastAsia="Times New Roman"/>
          <w:bCs/>
          <w:color w:val="000000" w:themeColor="text1"/>
        </w:rPr>
        <w:t xml:space="preserve"> </w:t>
      </w:r>
    </w:p>
    <w:p w14:paraId="12C112C4" w14:textId="5EE93651" w:rsidR="002D3BD0" w:rsidRPr="002F0C32" w:rsidRDefault="00623BE1" w:rsidP="002D3BD0">
      <w:pPr>
        <w:contextualSpacing/>
        <w:jc w:val="both"/>
      </w:pPr>
      <w:r>
        <w:rPr>
          <w:rFonts w:eastAsia="Times New Roman"/>
          <w:bCs/>
          <w:color w:val="000000" w:themeColor="text1"/>
          <w:vertAlign w:val="superscript"/>
        </w:rPr>
        <w:t>4</w:t>
      </w:r>
      <w:r w:rsidR="002F0C32">
        <w:t xml:space="preserve"> </w:t>
      </w:r>
      <w:r w:rsidR="002F0C32">
        <w:fldChar w:fldCharType="begin" w:fldLock="1"/>
      </w:r>
      <w:r w:rsidR="006B19BF">
        <w:instrText>ADDIN CSL_CITATION { "citationItems" : [ { "id" : "ITEM-1", "itemData" : { "DOI" : "10.1002/2015GL065194", "ISBN" : "9788578110796", "ISSN" : "00948276", "PMID" : "25246403", "abstract" : "We present a 13year (2002-2015) semimonthly time series of the partial pressure of CO&lt;inf&gt;2&lt;/inf&gt; in surface water (pCO&lt;inf&gt;2surf&lt;/inf&gt;) and other carbonate system parameters from the Drake Passage. This record shows a clear increase in the magnitude of the sea-air pCO&lt;inf&gt;2&lt;/inf&gt; gradient, indicating strengthening of the CO&lt;inf&gt;2&lt;/inf&gt; sink in agreement with recent large-scale analyses of the world oceans. The rate of increase in pCO&lt;inf&gt;2surf&lt;/inf&gt; north of the Antarctic Polar Front (APF) is similar to the atmospheric pCO&lt;inf&gt;2&lt;/inf&gt; (pCO&lt;inf&gt;2atm&lt;/inf&gt;) trend, whereas the pCO&lt;inf&gt;2surf&lt;/inf&gt; increase south of the APF is slower than the pCO&lt;inf&gt;2atm&lt;/inf&gt; trend. The high-frequency surface observations indicate that an absence of a winter increase in total CO&lt;inf&gt;2&lt;/inf&gt; (TCO&lt;inf&gt;2&lt;/inf&gt;) and cooling summer sea surface temperatures are largely responsible for increasing CO&lt;inf&gt;2&lt;/inf&gt; uptake south of the APF. Muted winter trends in surface TCO&lt;inf&gt;2&lt;/inf&gt; also provide temporary stability to the carbonate system that is already close to undersaturation with respect to aragonite.", "author" : [ { "dropping-particle" : "", "family" : "Munro", "given" : "David R", "non-dropping-particle" : "", "parse-names" : false, "suffix" : "" }, { "dropping-particle" : "", "family" : "Lovenduski", "given" : "Nicole S", "non-dropping-particle" : "", "parse-names" : false, "suffix" : "" }, { "dropping-particle" : "", "family" : "Takahashi", "given" : "Taro", "non-dropping-particle" : "", "parse-names" : false, "suffix" : "" }, { "dropping-particle" : "", "family" : "Stephens", "given" : "Britton B", "non-dropping-particle" : "", "parse-names" : false, "suffix" : "" }, { "dropping-particle" : "", "family" : "Newberger", "given" : "Timothy", "non-dropping-particle" : "", "parse-names" : false, "suffix" : "" }, { "dropping-particle" : "", "family" : "Sweeney", "given" : "Colm", "non-dropping-particle" : "", "parse-names" : false, "suffix" : "" } ], "container-title" : "Geophysical Research Letters", "id" : "ITEM-1", "issue" : "18", "issued" : { "date-parts" : [ [ "2015", "9", "28" ] ] }, "page" : "7623-7630", "title" : "Recent evidence for a strengthening CO&lt;sub&gt;2&lt;/sub&gt; sink in the Southern Ocean from carbonate system measurements in the Drake Passage (2002-2015)", "type" : "article-journal", "volume" : "42" }, "uris" : [ "http://www.mendeley.com/documents/?uuid=2196100d-35ae-4289-aadc-b1c861e69867" ] } ], "mendeley" : { "formattedCitation" : "[&lt;i&gt;Munro et al.&lt;/i&gt;, 2015]", "manualFormatting" : "Munro et al., [2015]", "plainTextFormattedCitation" : "[Munro et al., 2015]", "previouslyFormattedCitation" : "[&lt;i&gt;Munro et al.&lt;/i&gt;, 2015]" }, "properties" : { "noteIndex" : 0 }, "schema" : "https://github.com/citation-style-language/schema/raw/master/csl-citation.json" }</w:instrText>
      </w:r>
      <w:r w:rsidR="002F0C32">
        <w:fldChar w:fldCharType="separate"/>
      </w:r>
      <w:r w:rsidR="002F0C32" w:rsidRPr="002F0C32">
        <w:rPr>
          <w:i/>
          <w:noProof/>
        </w:rPr>
        <w:t>Munro et al.</w:t>
      </w:r>
      <w:r w:rsidR="002F0C32" w:rsidRPr="002F0C32">
        <w:rPr>
          <w:noProof/>
        </w:rPr>
        <w:t xml:space="preserve"> </w:t>
      </w:r>
      <w:r w:rsidR="002F0C32">
        <w:rPr>
          <w:noProof/>
        </w:rPr>
        <w:t>[</w:t>
      </w:r>
      <w:r w:rsidR="002F0C32" w:rsidRPr="002F0C32">
        <w:rPr>
          <w:noProof/>
        </w:rPr>
        <w:t>2015]</w:t>
      </w:r>
      <w:r w:rsidR="002F0C32">
        <w:fldChar w:fldCharType="end"/>
      </w:r>
    </w:p>
    <w:p w14:paraId="70024E15" w14:textId="13A0867B" w:rsidR="00B25E39" w:rsidRPr="00000BD7" w:rsidRDefault="00B25E39" w:rsidP="0026273B">
      <w:pPr>
        <w:contextualSpacing/>
        <w:jc w:val="both"/>
        <w:rPr>
          <w:rFonts w:eastAsia="Times New Roman"/>
          <w:bCs/>
          <w:color w:val="000000" w:themeColor="text1"/>
        </w:rPr>
      </w:pPr>
    </w:p>
    <w:p w14:paraId="08369A21" w14:textId="6ED438AE" w:rsidR="00CC3C35" w:rsidRDefault="0026273B" w:rsidP="00972449">
      <w:pPr>
        <w:pStyle w:val="ListParagraph"/>
        <w:spacing w:after="120" w:line="240" w:lineRule="auto"/>
        <w:ind w:left="0"/>
        <w:contextualSpacing w:val="0"/>
        <w:jc w:val="both"/>
        <w:rPr>
          <w:rFonts w:ascii="Times New Roman" w:hAnsi="Times New Roman" w:cs="Times New Roman"/>
          <w:sz w:val="24"/>
          <w:szCs w:val="24"/>
        </w:rPr>
      </w:pPr>
      <w:r w:rsidRPr="00776A06">
        <w:rPr>
          <w:rFonts w:ascii="Times New Roman" w:hAnsi="Times New Roman" w:cs="Times New Roman"/>
          <w:b/>
          <w:sz w:val="24"/>
          <w:szCs w:val="24"/>
        </w:rPr>
        <w:t xml:space="preserve">Table S3. </w:t>
      </w:r>
      <w:r w:rsidRPr="00D52807">
        <w:rPr>
          <w:rFonts w:ascii="Times New Roman" w:hAnsi="Times New Roman" w:cs="Times New Roman"/>
          <w:i/>
          <w:sz w:val="24"/>
          <w:szCs w:val="24"/>
        </w:rPr>
        <w:t>p</w:t>
      </w:r>
      <w:r w:rsidRPr="00D52807">
        <w:rPr>
          <w:rFonts w:ascii="Times New Roman" w:hAnsi="Times New Roman" w:cs="Times New Roman"/>
          <w:sz w:val="24"/>
          <w:szCs w:val="24"/>
        </w:rPr>
        <w:t>CO</w:t>
      </w:r>
      <w:r w:rsidRPr="00D52807">
        <w:rPr>
          <w:rFonts w:ascii="Times New Roman" w:hAnsi="Times New Roman" w:cs="Times New Roman"/>
          <w:sz w:val="24"/>
          <w:szCs w:val="24"/>
          <w:vertAlign w:val="subscript"/>
        </w:rPr>
        <w:t>2</w:t>
      </w:r>
      <w:r>
        <w:rPr>
          <w:rFonts w:ascii="Times New Roman" w:hAnsi="Times New Roman" w:cs="Times New Roman"/>
          <w:sz w:val="24"/>
          <w:szCs w:val="24"/>
        </w:rPr>
        <w:t>-normalized</w:t>
      </w:r>
      <w:r w:rsidR="00972449">
        <w:rPr>
          <w:rFonts w:ascii="Times New Roman" w:hAnsi="Times New Roman" w:cs="Times New Roman"/>
          <w:sz w:val="24"/>
          <w:szCs w:val="24"/>
        </w:rPr>
        <w:t xml:space="preserve"> </w:t>
      </w:r>
      <w:r w:rsidR="009328A3">
        <w:rPr>
          <w:rFonts w:ascii="Times New Roman" w:hAnsi="Times New Roman" w:cs="Times New Roman"/>
          <w:sz w:val="24"/>
          <w:szCs w:val="24"/>
        </w:rPr>
        <w:t>rates of change</w:t>
      </w:r>
      <w:r>
        <w:rPr>
          <w:rFonts w:ascii="Times New Roman" w:hAnsi="Times New Roman" w:cs="Times New Roman"/>
          <w:sz w:val="24"/>
          <w:szCs w:val="24"/>
        </w:rPr>
        <w:t xml:space="preserve"> in </w:t>
      </w:r>
      <w:r w:rsidRPr="00776A06">
        <w:rPr>
          <w:rFonts w:ascii="Times New Roman" w:hAnsi="Times New Roman" w:cs="Times New Roman"/>
          <w:sz w:val="24"/>
          <w:szCs w:val="24"/>
        </w:rPr>
        <w:t xml:space="preserve">RF, nDIC, and </w:t>
      </w:r>
      <w:r w:rsidRPr="00D52807">
        <w:rPr>
          <w:rFonts w:ascii="Times New Roman" w:hAnsi="Times New Roman" w:cs="Times New Roman"/>
          <w:sz w:val="24"/>
          <w:szCs w:val="24"/>
        </w:rPr>
        <w:t xml:space="preserve">pH </w:t>
      </w:r>
      <w:r>
        <w:rPr>
          <w:rFonts w:ascii="Times New Roman" w:hAnsi="Times New Roman" w:cs="Times New Roman"/>
          <w:sz w:val="24"/>
          <w:szCs w:val="24"/>
        </w:rPr>
        <w:t>from</w:t>
      </w:r>
      <w:r w:rsidRPr="00D52807">
        <w:rPr>
          <w:rFonts w:ascii="Times New Roman" w:hAnsi="Times New Roman" w:cs="Times New Roman"/>
          <w:sz w:val="24"/>
          <w:szCs w:val="24"/>
        </w:rPr>
        <w:t xml:space="preserve"> </w:t>
      </w:r>
      <w:r w:rsidR="00CC3C35">
        <w:rPr>
          <w:rFonts w:ascii="Times New Roman" w:hAnsi="Times New Roman" w:cs="Times New Roman"/>
          <w:sz w:val="24"/>
          <w:szCs w:val="24"/>
        </w:rPr>
        <w:t xml:space="preserve">the </w:t>
      </w:r>
      <w:r w:rsidR="00250705">
        <w:rPr>
          <w:rFonts w:ascii="Times New Roman" w:hAnsi="Times New Roman" w:cs="Times New Roman"/>
          <w:sz w:val="24"/>
          <w:szCs w:val="24"/>
        </w:rPr>
        <w:t>t</w:t>
      </w:r>
      <w:r w:rsidRPr="00776A06">
        <w:rPr>
          <w:rFonts w:ascii="Times New Roman" w:hAnsi="Times New Roman" w:cs="Times New Roman"/>
          <w:sz w:val="24"/>
          <w:szCs w:val="24"/>
        </w:rPr>
        <w:t>ime</w:t>
      </w:r>
      <w:r w:rsidR="000B056B">
        <w:rPr>
          <w:rFonts w:ascii="Times New Roman" w:hAnsi="Times New Roman" w:cs="Times New Roman"/>
          <w:sz w:val="24"/>
          <w:szCs w:val="24"/>
        </w:rPr>
        <w:t xml:space="preserve"> </w:t>
      </w:r>
      <w:r w:rsidR="00250705">
        <w:rPr>
          <w:rFonts w:ascii="Times New Roman" w:hAnsi="Times New Roman" w:cs="Times New Roman"/>
          <w:sz w:val="24"/>
          <w:szCs w:val="24"/>
        </w:rPr>
        <w:t>s</w:t>
      </w:r>
      <w:r w:rsidR="00250705" w:rsidRPr="00776A06">
        <w:rPr>
          <w:rFonts w:ascii="Times New Roman" w:hAnsi="Times New Roman" w:cs="Times New Roman"/>
          <w:sz w:val="24"/>
          <w:szCs w:val="24"/>
        </w:rPr>
        <w:t xml:space="preserve">eries </w:t>
      </w:r>
      <w:r w:rsidRPr="00776A06">
        <w:rPr>
          <w:rFonts w:ascii="Times New Roman" w:hAnsi="Times New Roman" w:cs="Times New Roman"/>
          <w:sz w:val="24"/>
          <w:szCs w:val="24"/>
        </w:rPr>
        <w:t xml:space="preserve">(TS) </w:t>
      </w:r>
      <w:r>
        <w:rPr>
          <w:rFonts w:ascii="Times New Roman" w:hAnsi="Times New Roman" w:cs="Times New Roman"/>
          <w:sz w:val="24"/>
          <w:szCs w:val="24"/>
        </w:rPr>
        <w:t xml:space="preserve">sites </w:t>
      </w:r>
      <w:r w:rsidRPr="00D52807">
        <w:rPr>
          <w:rFonts w:ascii="Times New Roman" w:hAnsi="Times New Roman" w:cs="Times New Roman"/>
          <w:sz w:val="24"/>
          <w:szCs w:val="24"/>
        </w:rPr>
        <w:t xml:space="preserve">highlighted in </w:t>
      </w:r>
      <w:r w:rsidRPr="00D52807">
        <w:rPr>
          <w:rFonts w:ascii="Times New Roman" w:hAnsi="Times New Roman" w:cs="Times New Roman"/>
          <w:b/>
          <w:sz w:val="24"/>
          <w:szCs w:val="24"/>
        </w:rPr>
        <w:t>Figures 2b</w:t>
      </w:r>
      <w:r w:rsidRPr="00322E07">
        <w:rPr>
          <w:rFonts w:ascii="Times New Roman" w:hAnsi="Times New Roman" w:cs="Times New Roman"/>
          <w:sz w:val="24"/>
          <w:szCs w:val="24"/>
        </w:rPr>
        <w:t>,</w:t>
      </w:r>
      <w:r w:rsidRPr="00D52807">
        <w:rPr>
          <w:rFonts w:ascii="Times New Roman" w:hAnsi="Times New Roman" w:cs="Times New Roman"/>
          <w:b/>
          <w:sz w:val="24"/>
          <w:szCs w:val="24"/>
        </w:rPr>
        <w:t xml:space="preserve"> </w:t>
      </w:r>
      <w:r w:rsidR="00766FD0">
        <w:rPr>
          <w:rFonts w:ascii="Times New Roman" w:hAnsi="Times New Roman" w:cs="Times New Roman"/>
          <w:b/>
          <w:sz w:val="24"/>
          <w:szCs w:val="24"/>
        </w:rPr>
        <w:t>2</w:t>
      </w:r>
      <w:r w:rsidRPr="00D52807">
        <w:rPr>
          <w:rFonts w:ascii="Times New Roman" w:hAnsi="Times New Roman" w:cs="Times New Roman"/>
          <w:b/>
          <w:sz w:val="24"/>
          <w:szCs w:val="24"/>
        </w:rPr>
        <w:t>d</w:t>
      </w:r>
      <w:r w:rsidRPr="00322E07">
        <w:rPr>
          <w:rFonts w:ascii="Times New Roman" w:hAnsi="Times New Roman" w:cs="Times New Roman"/>
          <w:sz w:val="24"/>
          <w:szCs w:val="24"/>
        </w:rPr>
        <w:t>,</w:t>
      </w:r>
      <w:r w:rsidRPr="00D52807">
        <w:rPr>
          <w:rFonts w:ascii="Times New Roman" w:hAnsi="Times New Roman" w:cs="Times New Roman"/>
          <w:b/>
          <w:sz w:val="24"/>
          <w:szCs w:val="24"/>
        </w:rPr>
        <w:t xml:space="preserve"> </w:t>
      </w:r>
      <w:r w:rsidRPr="005073AE">
        <w:rPr>
          <w:rFonts w:ascii="Times New Roman" w:hAnsi="Times New Roman" w:cs="Times New Roman"/>
          <w:sz w:val="24"/>
          <w:szCs w:val="24"/>
        </w:rPr>
        <w:t>and</w:t>
      </w:r>
      <w:r w:rsidRPr="00D52807">
        <w:rPr>
          <w:rFonts w:ascii="Times New Roman" w:hAnsi="Times New Roman" w:cs="Times New Roman"/>
          <w:sz w:val="24"/>
          <w:szCs w:val="24"/>
        </w:rPr>
        <w:t xml:space="preserve"> </w:t>
      </w:r>
      <w:r w:rsidR="00766FD0" w:rsidRPr="00766FD0">
        <w:rPr>
          <w:rFonts w:ascii="Times New Roman" w:hAnsi="Times New Roman" w:cs="Times New Roman"/>
          <w:b/>
          <w:sz w:val="24"/>
          <w:szCs w:val="24"/>
        </w:rPr>
        <w:t>2</w:t>
      </w:r>
      <w:r w:rsidRPr="00D52807">
        <w:rPr>
          <w:rFonts w:ascii="Times New Roman" w:hAnsi="Times New Roman" w:cs="Times New Roman"/>
          <w:b/>
          <w:sz w:val="24"/>
          <w:szCs w:val="24"/>
        </w:rPr>
        <w:t>f</w:t>
      </w:r>
      <w:r w:rsidR="00CC3C35">
        <w:rPr>
          <w:rFonts w:ascii="Times New Roman" w:hAnsi="Times New Roman" w:cs="Times New Roman"/>
          <w:sz w:val="24"/>
          <w:szCs w:val="24"/>
        </w:rPr>
        <w:t xml:space="preserve">, as well as the corresponding SOCAT-V4 grid cells. </w:t>
      </w:r>
      <w:r w:rsidR="001E6A04">
        <w:rPr>
          <w:rFonts w:ascii="Times New Roman" w:hAnsi="Times New Roman" w:cs="Times New Roman"/>
          <w:sz w:val="24"/>
          <w:szCs w:val="24"/>
        </w:rPr>
        <w:t xml:space="preserve">Trends from </w:t>
      </w:r>
      <w:r w:rsidR="00250705">
        <w:rPr>
          <w:rFonts w:ascii="Times New Roman" w:hAnsi="Times New Roman" w:cs="Times New Roman"/>
          <w:sz w:val="24"/>
          <w:szCs w:val="24"/>
        </w:rPr>
        <w:t>t</w:t>
      </w:r>
      <w:r w:rsidR="00CC3C35">
        <w:rPr>
          <w:rFonts w:ascii="Times New Roman" w:hAnsi="Times New Roman" w:cs="Times New Roman"/>
          <w:sz w:val="24"/>
          <w:szCs w:val="24"/>
        </w:rPr>
        <w:t>ime</w:t>
      </w:r>
      <w:r w:rsidR="000B056B">
        <w:rPr>
          <w:rFonts w:ascii="Times New Roman" w:hAnsi="Times New Roman" w:cs="Times New Roman"/>
          <w:sz w:val="24"/>
          <w:szCs w:val="24"/>
        </w:rPr>
        <w:t xml:space="preserve"> </w:t>
      </w:r>
      <w:r w:rsidR="00250705">
        <w:rPr>
          <w:rFonts w:ascii="Times New Roman" w:hAnsi="Times New Roman" w:cs="Times New Roman"/>
          <w:sz w:val="24"/>
          <w:szCs w:val="24"/>
        </w:rPr>
        <w:t xml:space="preserve">series </w:t>
      </w:r>
      <w:r w:rsidR="00CC3C35">
        <w:rPr>
          <w:rFonts w:ascii="Times New Roman" w:hAnsi="Times New Roman" w:cs="Times New Roman"/>
          <w:sz w:val="24"/>
          <w:szCs w:val="24"/>
        </w:rPr>
        <w:t>site</w:t>
      </w:r>
      <w:r w:rsidR="001E6A04">
        <w:rPr>
          <w:rFonts w:ascii="Times New Roman" w:hAnsi="Times New Roman" w:cs="Times New Roman"/>
          <w:sz w:val="24"/>
          <w:szCs w:val="24"/>
        </w:rPr>
        <w:t>s</w:t>
      </w:r>
      <w:r>
        <w:rPr>
          <w:rFonts w:ascii="Times New Roman" w:hAnsi="Times New Roman" w:cs="Times New Roman"/>
          <w:sz w:val="24"/>
          <w:szCs w:val="24"/>
        </w:rPr>
        <w:t xml:space="preserve"> include</w:t>
      </w:r>
      <w:r w:rsidRPr="00D52807">
        <w:rPr>
          <w:rFonts w:ascii="Times New Roman" w:hAnsi="Times New Roman" w:cs="Times New Roman"/>
          <w:sz w:val="24"/>
          <w:szCs w:val="24"/>
        </w:rPr>
        <w:t xml:space="preserve"> observations from El Niño years</w:t>
      </w:r>
      <w:r>
        <w:rPr>
          <w:rFonts w:ascii="Times New Roman" w:hAnsi="Times New Roman" w:cs="Times New Roman"/>
          <w:sz w:val="24"/>
          <w:szCs w:val="24"/>
        </w:rPr>
        <w:t xml:space="preserve"> and were compiled</w:t>
      </w:r>
      <w:r w:rsidRPr="00D52807">
        <w:rPr>
          <w:rFonts w:ascii="Times New Roman" w:hAnsi="Times New Roman" w:cs="Times New Roman"/>
          <w:sz w:val="24"/>
          <w:szCs w:val="24"/>
        </w:rPr>
        <w:t xml:space="preserve"> from the references (R) listed below the table</w:t>
      </w:r>
      <w:r>
        <w:rPr>
          <w:rFonts w:ascii="Times New Roman" w:hAnsi="Times New Roman" w:cs="Times New Roman"/>
          <w:sz w:val="24"/>
          <w:szCs w:val="24"/>
        </w:rPr>
        <w:t>.</w:t>
      </w:r>
      <w:r w:rsidRPr="00D52807">
        <w:rPr>
          <w:rFonts w:ascii="Times New Roman" w:hAnsi="Times New Roman" w:cs="Times New Roman"/>
          <w:sz w:val="24"/>
          <w:szCs w:val="24"/>
        </w:rPr>
        <w:t xml:space="preserve"> </w:t>
      </w:r>
      <w:r w:rsidR="00CC3C35">
        <w:rPr>
          <w:rFonts w:ascii="Times New Roman" w:hAnsi="Times New Roman" w:cs="Times New Roman"/>
          <w:sz w:val="24"/>
          <w:szCs w:val="24"/>
        </w:rPr>
        <w:t xml:space="preserve">SOCAT-V4 </w:t>
      </w:r>
      <w:r w:rsidR="008D271F">
        <w:rPr>
          <w:rFonts w:ascii="Times New Roman" w:hAnsi="Times New Roman" w:cs="Times New Roman"/>
          <w:sz w:val="24"/>
          <w:szCs w:val="24"/>
        </w:rPr>
        <w:t>rates of change were derived</w:t>
      </w:r>
      <w:r w:rsidR="00CC3C35">
        <w:rPr>
          <w:rFonts w:ascii="Times New Roman" w:hAnsi="Times New Roman" w:cs="Times New Roman"/>
          <w:sz w:val="24"/>
          <w:szCs w:val="24"/>
        </w:rPr>
        <w:t xml:space="preserve"> </w:t>
      </w:r>
      <w:r w:rsidR="001E6A04">
        <w:rPr>
          <w:rFonts w:ascii="Times New Roman" w:hAnsi="Times New Roman" w:cs="Times New Roman"/>
          <w:sz w:val="24"/>
          <w:szCs w:val="24"/>
        </w:rPr>
        <w:t>from</w:t>
      </w:r>
      <w:r w:rsidR="00CC3C35" w:rsidRPr="004125CD">
        <w:rPr>
          <w:rFonts w:ascii="Times New Roman" w:hAnsi="Times New Roman" w:cs="Times New Roman"/>
          <w:sz w:val="24"/>
          <w:szCs w:val="24"/>
        </w:rPr>
        <w:t xml:space="preserve"> </w:t>
      </w:r>
      <w:r w:rsidR="00293286">
        <w:rPr>
          <w:rFonts w:ascii="Times New Roman" w:hAnsi="Times New Roman" w:cs="Times New Roman"/>
          <w:sz w:val="24"/>
          <w:szCs w:val="24"/>
        </w:rPr>
        <w:t>annual mean</w:t>
      </w:r>
      <w:r w:rsidR="00CC3C35" w:rsidRPr="004125CD">
        <w:rPr>
          <w:rFonts w:ascii="Times New Roman" w:hAnsi="Times New Roman" w:cs="Times New Roman"/>
          <w:sz w:val="24"/>
          <w:szCs w:val="24"/>
        </w:rPr>
        <w:t xml:space="preserve"> SST, SSS, </w:t>
      </w:r>
      <w:r w:rsidR="00AF33D4">
        <w:rPr>
          <w:rFonts w:ascii="Times New Roman" w:hAnsi="Times New Roman" w:cs="Times New Roman"/>
          <w:sz w:val="24"/>
          <w:szCs w:val="24"/>
        </w:rPr>
        <w:t xml:space="preserve">DIC, and </w:t>
      </w:r>
      <w:r w:rsidR="00AF33D4" w:rsidRPr="004125CD">
        <w:rPr>
          <w:rFonts w:ascii="Times New Roman" w:hAnsi="Times New Roman" w:cs="Times New Roman"/>
          <w:i/>
          <w:sz w:val="24"/>
          <w:szCs w:val="24"/>
        </w:rPr>
        <w:t>p</w:t>
      </w:r>
      <w:r w:rsidR="00AF33D4" w:rsidRPr="004125CD">
        <w:rPr>
          <w:rFonts w:ascii="Times New Roman" w:hAnsi="Times New Roman" w:cs="Times New Roman"/>
          <w:sz w:val="24"/>
          <w:szCs w:val="24"/>
        </w:rPr>
        <w:t>CO</w:t>
      </w:r>
      <w:r w:rsidR="00AF33D4" w:rsidRPr="004125CD">
        <w:rPr>
          <w:rFonts w:ascii="Times New Roman" w:hAnsi="Times New Roman" w:cs="Times New Roman"/>
          <w:sz w:val="24"/>
          <w:szCs w:val="24"/>
          <w:vertAlign w:val="subscript"/>
        </w:rPr>
        <w:t>2</w:t>
      </w:r>
      <w:r w:rsidR="00AF33D4" w:rsidRPr="00AF33D4">
        <w:rPr>
          <w:rFonts w:ascii="Times New Roman" w:hAnsi="Times New Roman" w:cs="Times New Roman"/>
          <w:sz w:val="24"/>
          <w:szCs w:val="24"/>
        </w:rPr>
        <w:t xml:space="preserve"> </w:t>
      </w:r>
      <w:r w:rsidR="00CC3C35" w:rsidRPr="004125CD">
        <w:rPr>
          <w:rFonts w:ascii="Times New Roman" w:hAnsi="Times New Roman" w:cs="Times New Roman"/>
          <w:sz w:val="24"/>
          <w:szCs w:val="24"/>
        </w:rPr>
        <w:t xml:space="preserve">values in each grid while </w:t>
      </w:r>
      <w:r w:rsidR="008D271F">
        <w:rPr>
          <w:rFonts w:ascii="Times New Roman" w:hAnsi="Times New Roman" w:cs="Times New Roman"/>
          <w:sz w:val="24"/>
          <w:szCs w:val="24"/>
        </w:rPr>
        <w:t xml:space="preserve">linearly </w:t>
      </w:r>
      <w:r w:rsidR="00465360">
        <w:rPr>
          <w:rFonts w:ascii="Times New Roman" w:hAnsi="Times New Roman" w:cs="Times New Roman"/>
          <w:sz w:val="24"/>
          <w:szCs w:val="24"/>
        </w:rPr>
        <w:t>perturbing</w:t>
      </w:r>
      <w:r w:rsidR="008D271F">
        <w:rPr>
          <w:rFonts w:ascii="Times New Roman" w:hAnsi="Times New Roman" w:cs="Times New Roman"/>
          <w:sz w:val="24"/>
          <w:szCs w:val="24"/>
        </w:rPr>
        <w:t xml:space="preserve"> the </w:t>
      </w:r>
      <w:r w:rsidR="00AF33D4">
        <w:rPr>
          <w:rFonts w:ascii="Times New Roman" w:hAnsi="Times New Roman" w:cs="Times New Roman"/>
          <w:sz w:val="24"/>
          <w:szCs w:val="24"/>
        </w:rPr>
        <w:t>input</w:t>
      </w:r>
      <w:r w:rsidR="00CC3C35" w:rsidRPr="004125CD">
        <w:rPr>
          <w:rFonts w:ascii="Times New Roman" w:hAnsi="Times New Roman" w:cs="Times New Roman"/>
          <w:sz w:val="24"/>
          <w:szCs w:val="24"/>
        </w:rPr>
        <w:t xml:space="preserve"> </w:t>
      </w:r>
      <w:r w:rsidR="00CC3C35" w:rsidRPr="004125CD">
        <w:rPr>
          <w:rFonts w:ascii="Times New Roman" w:hAnsi="Times New Roman" w:cs="Times New Roman"/>
          <w:i/>
          <w:sz w:val="24"/>
          <w:szCs w:val="24"/>
        </w:rPr>
        <w:t>p</w:t>
      </w:r>
      <w:r w:rsidR="00CC3C35" w:rsidRPr="004125CD">
        <w:rPr>
          <w:rFonts w:ascii="Times New Roman" w:hAnsi="Times New Roman" w:cs="Times New Roman"/>
          <w:sz w:val="24"/>
          <w:szCs w:val="24"/>
        </w:rPr>
        <w:t>CO</w:t>
      </w:r>
      <w:r w:rsidR="00CC3C35" w:rsidRPr="004125CD">
        <w:rPr>
          <w:rFonts w:ascii="Times New Roman" w:hAnsi="Times New Roman" w:cs="Times New Roman"/>
          <w:sz w:val="24"/>
          <w:szCs w:val="24"/>
          <w:vertAlign w:val="subscript"/>
        </w:rPr>
        <w:t>2</w:t>
      </w:r>
      <w:r w:rsidR="00CC3C35" w:rsidRPr="004125CD">
        <w:rPr>
          <w:rFonts w:ascii="Times New Roman" w:hAnsi="Times New Roman" w:cs="Times New Roman"/>
          <w:sz w:val="24"/>
          <w:szCs w:val="24"/>
        </w:rPr>
        <w:t xml:space="preserve"> values by ± 4 µatm</w:t>
      </w:r>
      <w:r w:rsidR="00CC3C35">
        <w:rPr>
          <w:rFonts w:ascii="Times New Roman" w:hAnsi="Times New Roman" w:cs="Times New Roman"/>
          <w:sz w:val="24"/>
          <w:szCs w:val="24"/>
        </w:rPr>
        <w:t xml:space="preserve"> using CO2SYS</w:t>
      </w:r>
      <w:r w:rsidR="006923D7">
        <w:rPr>
          <w:rFonts w:ascii="Times New Roman" w:hAnsi="Times New Roman" w:cs="Times New Roman"/>
          <w:sz w:val="24"/>
          <w:szCs w:val="24"/>
        </w:rPr>
        <w:t xml:space="preserve"> (</w:t>
      </w:r>
      <w:r w:rsidR="006923D7" w:rsidRPr="00D52807">
        <w:rPr>
          <w:rFonts w:ascii="Times New Roman" w:hAnsi="Times New Roman" w:cs="Times New Roman"/>
          <w:b/>
          <w:sz w:val="24"/>
          <w:szCs w:val="24"/>
        </w:rPr>
        <w:t>Figures 2b</w:t>
      </w:r>
      <w:r w:rsidR="006923D7" w:rsidRPr="00322E07">
        <w:rPr>
          <w:rFonts w:ascii="Times New Roman" w:hAnsi="Times New Roman" w:cs="Times New Roman"/>
          <w:sz w:val="24"/>
          <w:szCs w:val="24"/>
        </w:rPr>
        <w:t>,</w:t>
      </w:r>
      <w:r w:rsidR="006923D7" w:rsidRPr="00D52807">
        <w:rPr>
          <w:rFonts w:ascii="Times New Roman" w:hAnsi="Times New Roman" w:cs="Times New Roman"/>
          <w:b/>
          <w:sz w:val="24"/>
          <w:szCs w:val="24"/>
        </w:rPr>
        <w:t xml:space="preserve"> </w:t>
      </w:r>
      <w:r w:rsidR="00766FD0">
        <w:rPr>
          <w:rFonts w:ascii="Times New Roman" w:hAnsi="Times New Roman" w:cs="Times New Roman"/>
          <w:b/>
          <w:sz w:val="24"/>
          <w:szCs w:val="24"/>
        </w:rPr>
        <w:t>2</w:t>
      </w:r>
      <w:r w:rsidR="006923D7" w:rsidRPr="00D52807">
        <w:rPr>
          <w:rFonts w:ascii="Times New Roman" w:hAnsi="Times New Roman" w:cs="Times New Roman"/>
          <w:b/>
          <w:sz w:val="24"/>
          <w:szCs w:val="24"/>
        </w:rPr>
        <w:t>d</w:t>
      </w:r>
      <w:r w:rsidR="006923D7" w:rsidRPr="00322E07">
        <w:rPr>
          <w:rFonts w:ascii="Times New Roman" w:hAnsi="Times New Roman" w:cs="Times New Roman"/>
          <w:sz w:val="24"/>
          <w:szCs w:val="24"/>
        </w:rPr>
        <w:t>,</w:t>
      </w:r>
      <w:r w:rsidR="006923D7" w:rsidRPr="00D52807">
        <w:rPr>
          <w:rFonts w:ascii="Times New Roman" w:hAnsi="Times New Roman" w:cs="Times New Roman"/>
          <w:b/>
          <w:sz w:val="24"/>
          <w:szCs w:val="24"/>
        </w:rPr>
        <w:t xml:space="preserve"> </w:t>
      </w:r>
      <w:r w:rsidR="006923D7" w:rsidRPr="005073AE">
        <w:rPr>
          <w:rFonts w:ascii="Times New Roman" w:hAnsi="Times New Roman" w:cs="Times New Roman"/>
          <w:sz w:val="24"/>
          <w:szCs w:val="24"/>
        </w:rPr>
        <w:t>and</w:t>
      </w:r>
      <w:r w:rsidR="006923D7" w:rsidRPr="00D52807">
        <w:rPr>
          <w:rFonts w:ascii="Times New Roman" w:hAnsi="Times New Roman" w:cs="Times New Roman"/>
          <w:sz w:val="24"/>
          <w:szCs w:val="24"/>
        </w:rPr>
        <w:t xml:space="preserve"> </w:t>
      </w:r>
      <w:r w:rsidR="00766FD0" w:rsidRPr="00766FD0">
        <w:rPr>
          <w:rFonts w:ascii="Times New Roman" w:hAnsi="Times New Roman" w:cs="Times New Roman"/>
          <w:b/>
          <w:sz w:val="24"/>
          <w:szCs w:val="24"/>
        </w:rPr>
        <w:t>2</w:t>
      </w:r>
      <w:r w:rsidR="006923D7" w:rsidRPr="00D52807">
        <w:rPr>
          <w:rFonts w:ascii="Times New Roman" w:hAnsi="Times New Roman" w:cs="Times New Roman"/>
          <w:b/>
          <w:sz w:val="24"/>
          <w:szCs w:val="24"/>
        </w:rPr>
        <w:t>f</w:t>
      </w:r>
      <w:r w:rsidR="006923D7">
        <w:rPr>
          <w:rFonts w:ascii="Times New Roman" w:hAnsi="Times New Roman" w:cs="Times New Roman"/>
          <w:sz w:val="24"/>
          <w:szCs w:val="24"/>
        </w:rPr>
        <w:t>).</w:t>
      </w:r>
    </w:p>
    <w:tbl>
      <w:tblPr>
        <w:tblW w:w="0" w:type="auto"/>
        <w:tblLook w:val="04A0" w:firstRow="1" w:lastRow="0" w:firstColumn="1" w:lastColumn="0" w:noHBand="0" w:noVBand="1"/>
      </w:tblPr>
      <w:tblGrid>
        <w:gridCol w:w="1359"/>
        <w:gridCol w:w="958"/>
        <w:gridCol w:w="1007"/>
        <w:gridCol w:w="711"/>
        <w:gridCol w:w="974"/>
        <w:gridCol w:w="730"/>
        <w:gridCol w:w="1183"/>
        <w:gridCol w:w="895"/>
        <w:gridCol w:w="974"/>
        <w:gridCol w:w="375"/>
      </w:tblGrid>
      <w:tr w:rsidR="003B6635" w:rsidRPr="000041BA" w14:paraId="09D0136B" w14:textId="77777777" w:rsidTr="000041BA">
        <w:trPr>
          <w:trHeight w:val="2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4EBBCB03" w14:textId="41784E2C" w:rsidR="003B6635" w:rsidRPr="000041BA" w:rsidRDefault="003B6635" w:rsidP="005F4293">
            <w:pPr>
              <w:rPr>
                <w:rFonts w:eastAsia="Times New Roman"/>
                <w:b/>
                <w:bCs/>
                <w:color w:val="000000"/>
                <w:sz w:val="22"/>
                <w:szCs w:val="22"/>
              </w:rPr>
            </w:pPr>
            <w:r w:rsidRPr="000041BA">
              <w:rPr>
                <w:rFonts w:eastAsia="Times New Roman"/>
                <w:b/>
                <w:bCs/>
                <w:color w:val="000000"/>
                <w:sz w:val="22"/>
                <w:szCs w:val="22"/>
              </w:rPr>
              <w:t>Time</w:t>
            </w:r>
            <w:r w:rsidR="00250705">
              <w:rPr>
                <w:rFonts w:eastAsia="Times New Roman"/>
                <w:b/>
                <w:bCs/>
                <w:color w:val="000000"/>
                <w:sz w:val="22"/>
                <w:szCs w:val="22"/>
              </w:rPr>
              <w:t xml:space="preserve"> </w:t>
            </w:r>
            <w:r w:rsidR="000B056B">
              <w:rPr>
                <w:rFonts w:eastAsia="Times New Roman"/>
                <w:b/>
                <w:bCs/>
                <w:color w:val="000000"/>
                <w:sz w:val="22"/>
                <w:szCs w:val="22"/>
              </w:rPr>
              <w:t>S</w:t>
            </w:r>
            <w:r w:rsidRPr="000041BA">
              <w:rPr>
                <w:rFonts w:eastAsia="Times New Roman"/>
                <w:b/>
                <w:bCs/>
                <w:color w:val="000000"/>
                <w:sz w:val="22"/>
                <w:szCs w:val="22"/>
              </w:rPr>
              <w:t>eries</w:t>
            </w:r>
          </w:p>
        </w:tc>
        <w:tc>
          <w:tcPr>
            <w:tcW w:w="0" w:type="auto"/>
            <w:vMerge w:val="restart"/>
            <w:tcBorders>
              <w:top w:val="single" w:sz="4" w:space="0" w:color="auto"/>
              <w:left w:val="nil"/>
              <w:bottom w:val="single" w:sz="4" w:space="0" w:color="000000"/>
              <w:right w:val="nil"/>
            </w:tcBorders>
            <w:shd w:val="clear" w:color="auto" w:fill="auto"/>
            <w:noWrap/>
            <w:vAlign w:val="center"/>
            <w:hideMark/>
          </w:tcPr>
          <w:p w14:paraId="15680C62" w14:textId="77777777" w:rsidR="003B6635" w:rsidRPr="000041BA" w:rsidRDefault="003B6635" w:rsidP="003B6635">
            <w:pPr>
              <w:jc w:val="center"/>
              <w:rPr>
                <w:rFonts w:eastAsia="Times New Roman"/>
                <w:b/>
                <w:bCs/>
                <w:color w:val="000000"/>
                <w:sz w:val="22"/>
                <w:szCs w:val="22"/>
              </w:rPr>
            </w:pPr>
            <w:r w:rsidRPr="000041BA">
              <w:rPr>
                <w:rFonts w:eastAsia="Times New Roman"/>
                <w:b/>
                <w:bCs/>
                <w:color w:val="000000"/>
                <w:sz w:val="22"/>
                <w:szCs w:val="22"/>
              </w:rPr>
              <w:t>Lat.</w:t>
            </w:r>
          </w:p>
        </w:tc>
        <w:tc>
          <w:tcPr>
            <w:tcW w:w="0" w:type="auto"/>
            <w:vMerge w:val="restart"/>
            <w:tcBorders>
              <w:top w:val="single" w:sz="4" w:space="0" w:color="auto"/>
              <w:left w:val="nil"/>
              <w:bottom w:val="single" w:sz="4" w:space="0" w:color="000000"/>
              <w:right w:val="nil"/>
            </w:tcBorders>
            <w:shd w:val="clear" w:color="auto" w:fill="auto"/>
            <w:noWrap/>
            <w:vAlign w:val="center"/>
            <w:hideMark/>
          </w:tcPr>
          <w:p w14:paraId="53AFBA5B" w14:textId="77777777" w:rsidR="003B6635" w:rsidRPr="000041BA" w:rsidRDefault="003B6635" w:rsidP="003B6635">
            <w:pPr>
              <w:jc w:val="center"/>
              <w:rPr>
                <w:rFonts w:eastAsia="Times New Roman"/>
                <w:b/>
                <w:bCs/>
                <w:color w:val="000000"/>
                <w:sz w:val="22"/>
                <w:szCs w:val="22"/>
              </w:rPr>
            </w:pPr>
            <w:r w:rsidRPr="000041BA">
              <w:rPr>
                <w:rFonts w:eastAsia="Times New Roman"/>
                <w:b/>
                <w:bCs/>
                <w:color w:val="000000"/>
                <w:sz w:val="22"/>
                <w:szCs w:val="22"/>
              </w:rPr>
              <w:t>Lon.</w:t>
            </w:r>
          </w:p>
        </w:tc>
        <w:tc>
          <w:tcPr>
            <w:tcW w:w="0" w:type="auto"/>
            <w:gridSpan w:val="2"/>
            <w:tcBorders>
              <w:top w:val="single" w:sz="4" w:space="0" w:color="auto"/>
              <w:left w:val="nil"/>
              <w:bottom w:val="nil"/>
              <w:right w:val="nil"/>
            </w:tcBorders>
            <w:shd w:val="clear" w:color="auto" w:fill="auto"/>
            <w:noWrap/>
            <w:vAlign w:val="center"/>
            <w:hideMark/>
          </w:tcPr>
          <w:p w14:paraId="178D1C16" w14:textId="77777777" w:rsidR="003B6635" w:rsidRPr="000041BA" w:rsidRDefault="003B6635" w:rsidP="003B6635">
            <w:pPr>
              <w:jc w:val="center"/>
              <w:rPr>
                <w:rFonts w:eastAsia="Times New Roman"/>
                <w:b/>
                <w:bCs/>
                <w:color w:val="000000"/>
                <w:sz w:val="22"/>
                <w:szCs w:val="22"/>
              </w:rPr>
            </w:pPr>
            <w:r w:rsidRPr="000041BA">
              <w:rPr>
                <w:rFonts w:eastAsia="Times New Roman"/>
                <w:b/>
                <w:bCs/>
                <w:color w:val="000000"/>
                <w:sz w:val="22"/>
                <w:szCs w:val="22"/>
              </w:rPr>
              <w:t>∂RF ∂</w:t>
            </w:r>
            <w:r w:rsidRPr="000041BA">
              <w:rPr>
                <w:rFonts w:eastAsia="Times New Roman"/>
                <w:b/>
                <w:bCs/>
                <w:i/>
                <w:iCs/>
                <w:color w:val="000000"/>
                <w:sz w:val="22"/>
                <w:szCs w:val="22"/>
              </w:rPr>
              <w:t>p</w:t>
            </w:r>
            <w:r w:rsidRPr="000041BA">
              <w:rPr>
                <w:rFonts w:eastAsia="Times New Roman"/>
                <w:b/>
                <w:bCs/>
                <w:color w:val="000000"/>
                <w:sz w:val="22"/>
                <w:szCs w:val="22"/>
              </w:rPr>
              <w:t>CO</w:t>
            </w:r>
            <w:r w:rsidRPr="000041BA">
              <w:rPr>
                <w:rFonts w:eastAsia="Times New Roman"/>
                <w:b/>
                <w:bCs/>
                <w:color w:val="000000"/>
                <w:sz w:val="22"/>
                <w:szCs w:val="22"/>
                <w:vertAlign w:val="subscript"/>
              </w:rPr>
              <w:t>2</w:t>
            </w:r>
            <w:r w:rsidRPr="000041BA">
              <w:rPr>
                <w:rFonts w:eastAsia="Times New Roman"/>
                <w:b/>
                <w:bCs/>
                <w:color w:val="000000"/>
                <w:sz w:val="22"/>
                <w:szCs w:val="22"/>
                <w:vertAlign w:val="superscript"/>
              </w:rPr>
              <w:t>-1</w:t>
            </w:r>
            <w:r w:rsidRPr="000041BA">
              <w:rPr>
                <w:rFonts w:eastAsia="Times New Roman"/>
                <w:b/>
                <w:bCs/>
                <w:color w:val="000000"/>
                <w:sz w:val="22"/>
                <w:szCs w:val="22"/>
              </w:rPr>
              <w:t xml:space="preserve"> </w:t>
            </w:r>
          </w:p>
        </w:tc>
        <w:tc>
          <w:tcPr>
            <w:tcW w:w="0" w:type="auto"/>
            <w:gridSpan w:val="2"/>
            <w:tcBorders>
              <w:top w:val="single" w:sz="4" w:space="0" w:color="auto"/>
              <w:left w:val="nil"/>
              <w:bottom w:val="nil"/>
              <w:right w:val="nil"/>
            </w:tcBorders>
            <w:shd w:val="clear" w:color="auto" w:fill="auto"/>
            <w:noWrap/>
            <w:vAlign w:val="center"/>
            <w:hideMark/>
          </w:tcPr>
          <w:p w14:paraId="1B7B4878" w14:textId="77777777" w:rsidR="003B6635" w:rsidRPr="000041BA" w:rsidRDefault="003B6635" w:rsidP="003B6635">
            <w:pPr>
              <w:jc w:val="center"/>
              <w:rPr>
                <w:rFonts w:eastAsia="Times New Roman"/>
                <w:b/>
                <w:bCs/>
                <w:color w:val="000000"/>
                <w:sz w:val="22"/>
                <w:szCs w:val="22"/>
              </w:rPr>
            </w:pPr>
            <w:r w:rsidRPr="000041BA">
              <w:rPr>
                <w:rFonts w:eastAsia="Times New Roman"/>
                <w:b/>
                <w:bCs/>
                <w:color w:val="000000"/>
                <w:sz w:val="22"/>
                <w:szCs w:val="22"/>
              </w:rPr>
              <w:t>∂nDIC ∂</w:t>
            </w:r>
            <w:r w:rsidRPr="000041BA">
              <w:rPr>
                <w:rFonts w:eastAsia="Times New Roman"/>
                <w:b/>
                <w:bCs/>
                <w:i/>
                <w:iCs/>
                <w:color w:val="000000"/>
                <w:sz w:val="22"/>
                <w:szCs w:val="22"/>
              </w:rPr>
              <w:t>p</w:t>
            </w:r>
            <w:r w:rsidRPr="000041BA">
              <w:rPr>
                <w:rFonts w:eastAsia="Times New Roman"/>
                <w:b/>
                <w:bCs/>
                <w:color w:val="000000"/>
                <w:sz w:val="22"/>
                <w:szCs w:val="22"/>
              </w:rPr>
              <w:t>CO</w:t>
            </w:r>
            <w:r w:rsidRPr="000041BA">
              <w:rPr>
                <w:rFonts w:eastAsia="Times New Roman"/>
                <w:b/>
                <w:bCs/>
                <w:color w:val="000000"/>
                <w:sz w:val="22"/>
                <w:szCs w:val="22"/>
                <w:vertAlign w:val="subscript"/>
              </w:rPr>
              <w:t>2</w:t>
            </w:r>
            <w:r w:rsidRPr="000041BA">
              <w:rPr>
                <w:rFonts w:eastAsia="Times New Roman"/>
                <w:b/>
                <w:bCs/>
                <w:color w:val="000000"/>
                <w:sz w:val="22"/>
                <w:szCs w:val="22"/>
                <w:vertAlign w:val="superscript"/>
              </w:rPr>
              <w:t>-1</w:t>
            </w:r>
            <w:r w:rsidRPr="000041BA">
              <w:rPr>
                <w:rFonts w:eastAsia="Times New Roman"/>
                <w:b/>
                <w:bCs/>
                <w:color w:val="000000"/>
                <w:sz w:val="22"/>
                <w:szCs w:val="22"/>
              </w:rPr>
              <w:t xml:space="preserve"> </w:t>
            </w:r>
          </w:p>
        </w:tc>
        <w:tc>
          <w:tcPr>
            <w:tcW w:w="0" w:type="auto"/>
            <w:gridSpan w:val="2"/>
            <w:tcBorders>
              <w:top w:val="single" w:sz="4" w:space="0" w:color="auto"/>
              <w:left w:val="nil"/>
              <w:bottom w:val="nil"/>
              <w:right w:val="nil"/>
            </w:tcBorders>
            <w:shd w:val="clear" w:color="auto" w:fill="auto"/>
            <w:noWrap/>
            <w:vAlign w:val="center"/>
            <w:hideMark/>
          </w:tcPr>
          <w:p w14:paraId="6397DA37" w14:textId="77777777" w:rsidR="003B6635" w:rsidRPr="000041BA" w:rsidRDefault="003B6635" w:rsidP="003B6635">
            <w:pPr>
              <w:jc w:val="center"/>
              <w:rPr>
                <w:rFonts w:eastAsia="Times New Roman"/>
                <w:b/>
                <w:bCs/>
                <w:color w:val="000000"/>
                <w:sz w:val="22"/>
                <w:szCs w:val="22"/>
              </w:rPr>
            </w:pPr>
            <w:r w:rsidRPr="000041BA">
              <w:rPr>
                <w:rFonts w:eastAsia="Times New Roman"/>
                <w:b/>
                <w:bCs/>
                <w:color w:val="000000"/>
                <w:sz w:val="22"/>
                <w:szCs w:val="22"/>
              </w:rPr>
              <w:t>∂pH ∂</w:t>
            </w:r>
            <w:r w:rsidRPr="000041BA">
              <w:rPr>
                <w:rFonts w:eastAsia="Times New Roman"/>
                <w:b/>
                <w:bCs/>
                <w:i/>
                <w:iCs/>
                <w:color w:val="000000"/>
                <w:sz w:val="22"/>
                <w:szCs w:val="22"/>
              </w:rPr>
              <w:t>p</w:t>
            </w:r>
            <w:r w:rsidRPr="000041BA">
              <w:rPr>
                <w:rFonts w:eastAsia="Times New Roman"/>
                <w:b/>
                <w:bCs/>
                <w:color w:val="000000"/>
                <w:sz w:val="22"/>
                <w:szCs w:val="22"/>
              </w:rPr>
              <w:t>CO</w:t>
            </w:r>
            <w:r w:rsidRPr="000041BA">
              <w:rPr>
                <w:rFonts w:eastAsia="Times New Roman"/>
                <w:b/>
                <w:bCs/>
                <w:color w:val="000000"/>
                <w:sz w:val="22"/>
                <w:szCs w:val="22"/>
                <w:vertAlign w:val="subscript"/>
              </w:rPr>
              <w:t>2</w:t>
            </w:r>
            <w:r w:rsidRPr="000041BA">
              <w:rPr>
                <w:rFonts w:eastAsia="Times New Roman"/>
                <w:b/>
                <w:bCs/>
                <w:color w:val="000000"/>
                <w:sz w:val="22"/>
                <w:szCs w:val="22"/>
                <w:vertAlign w:val="superscript"/>
              </w:rPr>
              <w:t>-1</w:t>
            </w:r>
          </w:p>
        </w:tc>
        <w:tc>
          <w:tcPr>
            <w:tcW w:w="0" w:type="auto"/>
            <w:vMerge w:val="restart"/>
            <w:tcBorders>
              <w:top w:val="single" w:sz="4" w:space="0" w:color="auto"/>
              <w:left w:val="nil"/>
              <w:bottom w:val="single" w:sz="4" w:space="0" w:color="000000"/>
              <w:right w:val="nil"/>
            </w:tcBorders>
            <w:shd w:val="clear" w:color="auto" w:fill="auto"/>
            <w:noWrap/>
            <w:vAlign w:val="center"/>
            <w:hideMark/>
          </w:tcPr>
          <w:p w14:paraId="539B59C7" w14:textId="77777777" w:rsidR="003B6635" w:rsidRPr="000041BA" w:rsidRDefault="003B6635" w:rsidP="003B6635">
            <w:pPr>
              <w:jc w:val="center"/>
              <w:rPr>
                <w:rFonts w:eastAsia="Times New Roman"/>
                <w:b/>
                <w:bCs/>
                <w:color w:val="000000"/>
                <w:sz w:val="22"/>
                <w:szCs w:val="22"/>
              </w:rPr>
            </w:pPr>
            <w:r w:rsidRPr="000041BA">
              <w:rPr>
                <w:rFonts w:eastAsia="Times New Roman"/>
                <w:b/>
                <w:bCs/>
                <w:color w:val="000000"/>
                <w:sz w:val="22"/>
                <w:szCs w:val="22"/>
              </w:rPr>
              <w:t>R</w:t>
            </w:r>
          </w:p>
        </w:tc>
      </w:tr>
      <w:tr w:rsidR="003B6635" w:rsidRPr="000041BA" w14:paraId="562D317A" w14:textId="77777777" w:rsidTr="000041BA">
        <w:trPr>
          <w:trHeight w:val="20"/>
        </w:trPr>
        <w:tc>
          <w:tcPr>
            <w:tcW w:w="0" w:type="auto"/>
            <w:vMerge/>
            <w:tcBorders>
              <w:top w:val="single" w:sz="4" w:space="0" w:color="auto"/>
              <w:left w:val="nil"/>
              <w:bottom w:val="single" w:sz="4" w:space="0" w:color="000000"/>
              <w:right w:val="nil"/>
            </w:tcBorders>
            <w:vAlign w:val="center"/>
            <w:hideMark/>
          </w:tcPr>
          <w:p w14:paraId="0E85A779" w14:textId="77777777" w:rsidR="003B6635" w:rsidRPr="000041BA" w:rsidRDefault="003B6635" w:rsidP="003B6635">
            <w:pPr>
              <w:rPr>
                <w:rFonts w:eastAsia="Times New Roman"/>
                <w:b/>
                <w:bCs/>
                <w:color w:val="000000"/>
                <w:sz w:val="22"/>
                <w:szCs w:val="22"/>
              </w:rPr>
            </w:pPr>
          </w:p>
        </w:tc>
        <w:tc>
          <w:tcPr>
            <w:tcW w:w="0" w:type="auto"/>
            <w:vMerge/>
            <w:tcBorders>
              <w:top w:val="single" w:sz="4" w:space="0" w:color="auto"/>
              <w:left w:val="nil"/>
              <w:bottom w:val="single" w:sz="4" w:space="0" w:color="000000"/>
              <w:right w:val="nil"/>
            </w:tcBorders>
            <w:vAlign w:val="center"/>
            <w:hideMark/>
          </w:tcPr>
          <w:p w14:paraId="387677E4" w14:textId="77777777" w:rsidR="003B6635" w:rsidRPr="000041BA" w:rsidRDefault="003B6635" w:rsidP="003B6635">
            <w:pPr>
              <w:rPr>
                <w:rFonts w:eastAsia="Times New Roman"/>
                <w:b/>
                <w:bCs/>
                <w:color w:val="000000"/>
                <w:sz w:val="22"/>
                <w:szCs w:val="22"/>
              </w:rPr>
            </w:pPr>
          </w:p>
        </w:tc>
        <w:tc>
          <w:tcPr>
            <w:tcW w:w="0" w:type="auto"/>
            <w:vMerge/>
            <w:tcBorders>
              <w:top w:val="single" w:sz="4" w:space="0" w:color="auto"/>
              <w:left w:val="nil"/>
              <w:bottom w:val="single" w:sz="4" w:space="0" w:color="000000"/>
              <w:right w:val="nil"/>
            </w:tcBorders>
            <w:vAlign w:val="center"/>
            <w:hideMark/>
          </w:tcPr>
          <w:p w14:paraId="33E242BE" w14:textId="77777777" w:rsidR="003B6635" w:rsidRPr="000041BA" w:rsidRDefault="003B6635" w:rsidP="003B6635">
            <w:pPr>
              <w:rPr>
                <w:rFonts w:eastAsia="Times New Roman"/>
                <w:b/>
                <w:bCs/>
                <w:color w:val="000000"/>
                <w:sz w:val="22"/>
                <w:szCs w:val="22"/>
              </w:rPr>
            </w:pPr>
          </w:p>
        </w:tc>
        <w:tc>
          <w:tcPr>
            <w:tcW w:w="0" w:type="auto"/>
            <w:gridSpan w:val="2"/>
            <w:tcBorders>
              <w:top w:val="nil"/>
              <w:left w:val="nil"/>
              <w:bottom w:val="nil"/>
              <w:right w:val="nil"/>
            </w:tcBorders>
            <w:shd w:val="clear" w:color="auto" w:fill="auto"/>
            <w:noWrap/>
            <w:vAlign w:val="center"/>
            <w:hideMark/>
          </w:tcPr>
          <w:p w14:paraId="0A272F7F" w14:textId="77777777" w:rsidR="003B6635" w:rsidRPr="000041BA" w:rsidRDefault="003B6635" w:rsidP="003B6635">
            <w:pPr>
              <w:jc w:val="center"/>
              <w:rPr>
                <w:rFonts w:eastAsia="Times New Roman"/>
                <w:b/>
                <w:bCs/>
                <w:color w:val="000000"/>
                <w:sz w:val="22"/>
                <w:szCs w:val="22"/>
              </w:rPr>
            </w:pPr>
            <w:r w:rsidRPr="000041BA">
              <w:rPr>
                <w:rFonts w:eastAsia="Times New Roman"/>
                <w:b/>
                <w:bCs/>
                <w:color w:val="000000"/>
                <w:sz w:val="22"/>
                <w:szCs w:val="22"/>
              </w:rPr>
              <w:t>(µatm</w:t>
            </w:r>
            <w:r w:rsidRPr="000041BA">
              <w:rPr>
                <w:rFonts w:eastAsia="Times New Roman"/>
                <w:b/>
                <w:bCs/>
                <w:color w:val="000000"/>
                <w:sz w:val="22"/>
                <w:szCs w:val="22"/>
                <w:vertAlign w:val="superscript"/>
              </w:rPr>
              <w:t>-1</w:t>
            </w:r>
            <w:r w:rsidRPr="000041BA">
              <w:rPr>
                <w:rFonts w:eastAsia="Times New Roman"/>
                <w:b/>
                <w:bCs/>
                <w:color w:val="000000"/>
                <w:sz w:val="22"/>
                <w:szCs w:val="22"/>
              </w:rPr>
              <w:t>)</w:t>
            </w:r>
          </w:p>
        </w:tc>
        <w:tc>
          <w:tcPr>
            <w:tcW w:w="0" w:type="auto"/>
            <w:gridSpan w:val="2"/>
            <w:tcBorders>
              <w:top w:val="nil"/>
              <w:left w:val="nil"/>
              <w:bottom w:val="nil"/>
              <w:right w:val="nil"/>
            </w:tcBorders>
            <w:shd w:val="clear" w:color="auto" w:fill="auto"/>
            <w:noWrap/>
            <w:vAlign w:val="center"/>
            <w:hideMark/>
          </w:tcPr>
          <w:p w14:paraId="1C55BEA8" w14:textId="77777777" w:rsidR="003B6635" w:rsidRPr="000041BA" w:rsidRDefault="003B6635" w:rsidP="003B6635">
            <w:pPr>
              <w:jc w:val="center"/>
              <w:rPr>
                <w:rFonts w:eastAsia="Times New Roman"/>
                <w:b/>
                <w:bCs/>
                <w:color w:val="000000"/>
                <w:sz w:val="22"/>
                <w:szCs w:val="22"/>
              </w:rPr>
            </w:pPr>
            <w:r w:rsidRPr="000041BA">
              <w:rPr>
                <w:rFonts w:eastAsia="Times New Roman"/>
                <w:b/>
                <w:bCs/>
                <w:color w:val="000000"/>
                <w:sz w:val="22"/>
                <w:szCs w:val="22"/>
              </w:rPr>
              <w:t>(µmol kg</w:t>
            </w:r>
            <w:r w:rsidRPr="000041BA">
              <w:rPr>
                <w:rFonts w:eastAsia="Times New Roman"/>
                <w:b/>
                <w:bCs/>
                <w:color w:val="000000"/>
                <w:sz w:val="22"/>
                <w:szCs w:val="22"/>
                <w:vertAlign w:val="superscript"/>
              </w:rPr>
              <w:t>-1</w:t>
            </w:r>
            <w:r w:rsidRPr="000041BA">
              <w:rPr>
                <w:rFonts w:eastAsia="Times New Roman"/>
                <w:b/>
                <w:bCs/>
                <w:color w:val="000000"/>
                <w:sz w:val="22"/>
                <w:szCs w:val="22"/>
              </w:rPr>
              <w:t xml:space="preserve"> µatm</w:t>
            </w:r>
            <w:r w:rsidRPr="000041BA">
              <w:rPr>
                <w:rFonts w:eastAsia="Times New Roman"/>
                <w:b/>
                <w:bCs/>
                <w:color w:val="000000"/>
                <w:sz w:val="22"/>
                <w:szCs w:val="22"/>
                <w:vertAlign w:val="superscript"/>
              </w:rPr>
              <w:t>-1</w:t>
            </w:r>
            <w:r w:rsidRPr="000041BA">
              <w:rPr>
                <w:rFonts w:eastAsia="Times New Roman"/>
                <w:b/>
                <w:bCs/>
                <w:color w:val="000000"/>
                <w:sz w:val="22"/>
                <w:szCs w:val="22"/>
              </w:rPr>
              <w:t>)</w:t>
            </w:r>
          </w:p>
        </w:tc>
        <w:tc>
          <w:tcPr>
            <w:tcW w:w="0" w:type="auto"/>
            <w:gridSpan w:val="2"/>
            <w:tcBorders>
              <w:top w:val="nil"/>
              <w:left w:val="nil"/>
              <w:bottom w:val="nil"/>
              <w:right w:val="nil"/>
            </w:tcBorders>
            <w:shd w:val="clear" w:color="auto" w:fill="auto"/>
            <w:noWrap/>
            <w:vAlign w:val="center"/>
            <w:hideMark/>
          </w:tcPr>
          <w:p w14:paraId="207FEA41" w14:textId="77777777" w:rsidR="003B6635" w:rsidRPr="000041BA" w:rsidRDefault="003B6635" w:rsidP="003B6635">
            <w:pPr>
              <w:jc w:val="center"/>
              <w:rPr>
                <w:rFonts w:eastAsia="Times New Roman"/>
                <w:b/>
                <w:bCs/>
                <w:color w:val="000000"/>
                <w:sz w:val="22"/>
                <w:szCs w:val="22"/>
              </w:rPr>
            </w:pPr>
            <w:r w:rsidRPr="000041BA">
              <w:rPr>
                <w:rFonts w:eastAsia="Times New Roman"/>
                <w:b/>
                <w:bCs/>
                <w:color w:val="000000"/>
                <w:sz w:val="22"/>
                <w:szCs w:val="22"/>
              </w:rPr>
              <w:t>(µatm</w:t>
            </w:r>
            <w:r w:rsidRPr="000041BA">
              <w:rPr>
                <w:rFonts w:eastAsia="Times New Roman"/>
                <w:b/>
                <w:bCs/>
                <w:color w:val="000000"/>
                <w:sz w:val="22"/>
                <w:szCs w:val="22"/>
                <w:vertAlign w:val="superscript"/>
              </w:rPr>
              <w:t>-1</w:t>
            </w:r>
            <w:r w:rsidRPr="000041BA">
              <w:rPr>
                <w:rFonts w:eastAsia="Times New Roman"/>
                <w:b/>
                <w:bCs/>
                <w:color w:val="000000"/>
                <w:sz w:val="22"/>
                <w:szCs w:val="22"/>
              </w:rPr>
              <w:t>)</w:t>
            </w:r>
          </w:p>
        </w:tc>
        <w:tc>
          <w:tcPr>
            <w:tcW w:w="0" w:type="auto"/>
            <w:vMerge/>
            <w:tcBorders>
              <w:top w:val="single" w:sz="4" w:space="0" w:color="auto"/>
              <w:left w:val="nil"/>
              <w:bottom w:val="single" w:sz="4" w:space="0" w:color="000000"/>
              <w:right w:val="nil"/>
            </w:tcBorders>
            <w:vAlign w:val="center"/>
            <w:hideMark/>
          </w:tcPr>
          <w:p w14:paraId="664A946E" w14:textId="77777777" w:rsidR="003B6635" w:rsidRPr="000041BA" w:rsidRDefault="003B6635" w:rsidP="003B6635">
            <w:pPr>
              <w:rPr>
                <w:rFonts w:eastAsia="Times New Roman"/>
                <w:b/>
                <w:bCs/>
                <w:color w:val="000000"/>
                <w:sz w:val="22"/>
                <w:szCs w:val="22"/>
              </w:rPr>
            </w:pPr>
          </w:p>
        </w:tc>
      </w:tr>
      <w:tr w:rsidR="003B6635" w:rsidRPr="000041BA" w14:paraId="3B56553D" w14:textId="77777777" w:rsidTr="000041BA">
        <w:trPr>
          <w:trHeight w:val="20"/>
        </w:trPr>
        <w:tc>
          <w:tcPr>
            <w:tcW w:w="0" w:type="auto"/>
            <w:vMerge/>
            <w:tcBorders>
              <w:top w:val="single" w:sz="4" w:space="0" w:color="auto"/>
              <w:left w:val="nil"/>
              <w:bottom w:val="single" w:sz="4" w:space="0" w:color="000000"/>
              <w:right w:val="nil"/>
            </w:tcBorders>
            <w:vAlign w:val="center"/>
            <w:hideMark/>
          </w:tcPr>
          <w:p w14:paraId="1ECFF648" w14:textId="77777777" w:rsidR="003B6635" w:rsidRPr="000041BA" w:rsidRDefault="003B6635" w:rsidP="003B6635">
            <w:pPr>
              <w:rPr>
                <w:rFonts w:eastAsia="Times New Roman"/>
                <w:b/>
                <w:bCs/>
                <w:color w:val="000000"/>
                <w:sz w:val="22"/>
                <w:szCs w:val="22"/>
              </w:rPr>
            </w:pPr>
          </w:p>
        </w:tc>
        <w:tc>
          <w:tcPr>
            <w:tcW w:w="0" w:type="auto"/>
            <w:vMerge/>
            <w:tcBorders>
              <w:top w:val="single" w:sz="4" w:space="0" w:color="auto"/>
              <w:left w:val="nil"/>
              <w:bottom w:val="single" w:sz="4" w:space="0" w:color="000000"/>
              <w:right w:val="nil"/>
            </w:tcBorders>
            <w:vAlign w:val="center"/>
            <w:hideMark/>
          </w:tcPr>
          <w:p w14:paraId="2B27DD48" w14:textId="77777777" w:rsidR="003B6635" w:rsidRPr="000041BA" w:rsidRDefault="003B6635" w:rsidP="003B6635">
            <w:pPr>
              <w:rPr>
                <w:rFonts w:eastAsia="Times New Roman"/>
                <w:b/>
                <w:bCs/>
                <w:color w:val="000000"/>
                <w:sz w:val="22"/>
                <w:szCs w:val="22"/>
              </w:rPr>
            </w:pPr>
          </w:p>
        </w:tc>
        <w:tc>
          <w:tcPr>
            <w:tcW w:w="0" w:type="auto"/>
            <w:vMerge/>
            <w:tcBorders>
              <w:top w:val="single" w:sz="4" w:space="0" w:color="auto"/>
              <w:left w:val="nil"/>
              <w:bottom w:val="single" w:sz="4" w:space="0" w:color="000000"/>
              <w:right w:val="nil"/>
            </w:tcBorders>
            <w:vAlign w:val="center"/>
            <w:hideMark/>
          </w:tcPr>
          <w:p w14:paraId="3360E4AE" w14:textId="77777777" w:rsidR="003B6635" w:rsidRPr="000041BA" w:rsidRDefault="003B6635" w:rsidP="003B6635">
            <w:pPr>
              <w:rPr>
                <w:rFonts w:eastAsia="Times New Roman"/>
                <w:b/>
                <w:bCs/>
                <w:color w:val="000000"/>
                <w:sz w:val="22"/>
                <w:szCs w:val="22"/>
              </w:rPr>
            </w:pPr>
          </w:p>
        </w:tc>
        <w:tc>
          <w:tcPr>
            <w:tcW w:w="0" w:type="auto"/>
            <w:tcBorders>
              <w:top w:val="nil"/>
              <w:left w:val="nil"/>
              <w:bottom w:val="single" w:sz="4" w:space="0" w:color="auto"/>
              <w:right w:val="nil"/>
            </w:tcBorders>
            <w:shd w:val="clear" w:color="auto" w:fill="auto"/>
            <w:noWrap/>
            <w:vAlign w:val="center"/>
            <w:hideMark/>
          </w:tcPr>
          <w:p w14:paraId="2731B2AA" w14:textId="3F5BD7A2" w:rsidR="003B6635" w:rsidRPr="000041BA" w:rsidRDefault="003B6635" w:rsidP="003B6635">
            <w:pPr>
              <w:jc w:val="center"/>
              <w:rPr>
                <w:rFonts w:eastAsia="Times New Roman"/>
                <w:b/>
                <w:bCs/>
                <w:color w:val="000000"/>
                <w:sz w:val="22"/>
                <w:szCs w:val="22"/>
              </w:rPr>
            </w:pPr>
            <w:r w:rsidRPr="000041BA">
              <w:rPr>
                <w:rFonts w:eastAsia="Times New Roman"/>
                <w:b/>
                <w:bCs/>
                <w:color w:val="000000"/>
                <w:sz w:val="22"/>
                <w:szCs w:val="22"/>
              </w:rPr>
              <w:t>TS</w:t>
            </w:r>
          </w:p>
        </w:tc>
        <w:tc>
          <w:tcPr>
            <w:tcW w:w="0" w:type="auto"/>
            <w:tcBorders>
              <w:top w:val="nil"/>
              <w:left w:val="nil"/>
              <w:bottom w:val="single" w:sz="4" w:space="0" w:color="auto"/>
              <w:right w:val="nil"/>
            </w:tcBorders>
            <w:shd w:val="clear" w:color="auto" w:fill="auto"/>
            <w:noWrap/>
            <w:vAlign w:val="center"/>
            <w:hideMark/>
          </w:tcPr>
          <w:p w14:paraId="389FFA3A" w14:textId="77777777" w:rsidR="003B6635" w:rsidRPr="000041BA" w:rsidRDefault="003B6635" w:rsidP="003B6635">
            <w:pPr>
              <w:jc w:val="center"/>
              <w:rPr>
                <w:rFonts w:eastAsia="Times New Roman"/>
                <w:b/>
                <w:bCs/>
                <w:color w:val="000000"/>
                <w:sz w:val="22"/>
                <w:szCs w:val="22"/>
              </w:rPr>
            </w:pPr>
            <w:r w:rsidRPr="000041BA">
              <w:rPr>
                <w:rFonts w:eastAsia="Times New Roman"/>
                <w:b/>
                <w:bCs/>
                <w:color w:val="000000"/>
                <w:sz w:val="22"/>
                <w:szCs w:val="22"/>
              </w:rPr>
              <w:t>SOCAT</w:t>
            </w:r>
          </w:p>
        </w:tc>
        <w:tc>
          <w:tcPr>
            <w:tcW w:w="0" w:type="auto"/>
            <w:tcBorders>
              <w:top w:val="nil"/>
              <w:left w:val="nil"/>
              <w:bottom w:val="single" w:sz="4" w:space="0" w:color="auto"/>
              <w:right w:val="nil"/>
            </w:tcBorders>
            <w:shd w:val="clear" w:color="auto" w:fill="auto"/>
            <w:noWrap/>
            <w:vAlign w:val="center"/>
            <w:hideMark/>
          </w:tcPr>
          <w:p w14:paraId="6C4F4E12" w14:textId="416C4009" w:rsidR="003B6635" w:rsidRPr="000041BA" w:rsidRDefault="003B6635" w:rsidP="003B6635">
            <w:pPr>
              <w:jc w:val="center"/>
              <w:rPr>
                <w:rFonts w:eastAsia="Times New Roman"/>
                <w:b/>
                <w:bCs/>
                <w:color w:val="000000"/>
                <w:sz w:val="22"/>
                <w:szCs w:val="22"/>
              </w:rPr>
            </w:pPr>
            <w:r w:rsidRPr="000041BA">
              <w:rPr>
                <w:rFonts w:eastAsia="Times New Roman"/>
                <w:b/>
                <w:bCs/>
                <w:color w:val="000000"/>
                <w:sz w:val="22"/>
                <w:szCs w:val="22"/>
              </w:rPr>
              <w:t>TS</w:t>
            </w:r>
          </w:p>
        </w:tc>
        <w:tc>
          <w:tcPr>
            <w:tcW w:w="0" w:type="auto"/>
            <w:tcBorders>
              <w:top w:val="nil"/>
              <w:left w:val="nil"/>
              <w:bottom w:val="single" w:sz="4" w:space="0" w:color="auto"/>
              <w:right w:val="nil"/>
            </w:tcBorders>
            <w:shd w:val="clear" w:color="auto" w:fill="auto"/>
            <w:noWrap/>
            <w:vAlign w:val="center"/>
            <w:hideMark/>
          </w:tcPr>
          <w:p w14:paraId="397301EC" w14:textId="77777777" w:rsidR="003B6635" w:rsidRPr="000041BA" w:rsidRDefault="003B6635" w:rsidP="003B6635">
            <w:pPr>
              <w:jc w:val="center"/>
              <w:rPr>
                <w:rFonts w:eastAsia="Times New Roman"/>
                <w:b/>
                <w:bCs/>
                <w:color w:val="000000"/>
                <w:sz w:val="22"/>
                <w:szCs w:val="22"/>
              </w:rPr>
            </w:pPr>
            <w:r w:rsidRPr="000041BA">
              <w:rPr>
                <w:rFonts w:eastAsia="Times New Roman"/>
                <w:b/>
                <w:bCs/>
                <w:color w:val="000000"/>
                <w:sz w:val="22"/>
                <w:szCs w:val="22"/>
              </w:rPr>
              <w:t>SOCAT</w:t>
            </w:r>
          </w:p>
        </w:tc>
        <w:tc>
          <w:tcPr>
            <w:tcW w:w="0" w:type="auto"/>
            <w:tcBorders>
              <w:top w:val="nil"/>
              <w:left w:val="nil"/>
              <w:bottom w:val="single" w:sz="4" w:space="0" w:color="auto"/>
              <w:right w:val="nil"/>
            </w:tcBorders>
            <w:shd w:val="clear" w:color="auto" w:fill="auto"/>
            <w:noWrap/>
            <w:vAlign w:val="center"/>
            <w:hideMark/>
          </w:tcPr>
          <w:p w14:paraId="0C1D9E78" w14:textId="70E17F78" w:rsidR="003B6635" w:rsidRPr="000041BA" w:rsidRDefault="003B6635" w:rsidP="003B6635">
            <w:pPr>
              <w:jc w:val="center"/>
              <w:rPr>
                <w:rFonts w:eastAsia="Times New Roman"/>
                <w:b/>
                <w:bCs/>
                <w:color w:val="000000"/>
                <w:sz w:val="22"/>
                <w:szCs w:val="22"/>
              </w:rPr>
            </w:pPr>
            <w:r w:rsidRPr="000041BA">
              <w:rPr>
                <w:rFonts w:eastAsia="Times New Roman"/>
                <w:b/>
                <w:bCs/>
                <w:color w:val="000000"/>
                <w:sz w:val="22"/>
                <w:szCs w:val="22"/>
              </w:rPr>
              <w:t>TS</w:t>
            </w:r>
          </w:p>
        </w:tc>
        <w:tc>
          <w:tcPr>
            <w:tcW w:w="0" w:type="auto"/>
            <w:tcBorders>
              <w:top w:val="nil"/>
              <w:left w:val="nil"/>
              <w:bottom w:val="single" w:sz="4" w:space="0" w:color="auto"/>
              <w:right w:val="nil"/>
            </w:tcBorders>
            <w:shd w:val="clear" w:color="auto" w:fill="auto"/>
            <w:noWrap/>
            <w:vAlign w:val="center"/>
            <w:hideMark/>
          </w:tcPr>
          <w:p w14:paraId="67550C00" w14:textId="77777777" w:rsidR="003B6635" w:rsidRPr="000041BA" w:rsidRDefault="003B6635" w:rsidP="003B6635">
            <w:pPr>
              <w:jc w:val="center"/>
              <w:rPr>
                <w:rFonts w:eastAsia="Times New Roman"/>
                <w:b/>
                <w:bCs/>
                <w:color w:val="000000"/>
                <w:sz w:val="22"/>
                <w:szCs w:val="22"/>
              </w:rPr>
            </w:pPr>
            <w:r w:rsidRPr="000041BA">
              <w:rPr>
                <w:rFonts w:eastAsia="Times New Roman"/>
                <w:b/>
                <w:bCs/>
                <w:color w:val="000000"/>
                <w:sz w:val="22"/>
                <w:szCs w:val="22"/>
              </w:rPr>
              <w:t>SOCAT</w:t>
            </w:r>
          </w:p>
        </w:tc>
        <w:tc>
          <w:tcPr>
            <w:tcW w:w="0" w:type="auto"/>
            <w:vMerge/>
            <w:tcBorders>
              <w:top w:val="single" w:sz="4" w:space="0" w:color="auto"/>
              <w:left w:val="nil"/>
              <w:bottom w:val="single" w:sz="4" w:space="0" w:color="000000"/>
              <w:right w:val="nil"/>
            </w:tcBorders>
            <w:vAlign w:val="center"/>
            <w:hideMark/>
          </w:tcPr>
          <w:p w14:paraId="44BA54DC" w14:textId="77777777" w:rsidR="003B6635" w:rsidRPr="000041BA" w:rsidRDefault="003B6635" w:rsidP="003B6635">
            <w:pPr>
              <w:rPr>
                <w:rFonts w:eastAsia="Times New Roman"/>
                <w:b/>
                <w:bCs/>
                <w:color w:val="000000"/>
                <w:sz w:val="22"/>
                <w:szCs w:val="22"/>
              </w:rPr>
            </w:pPr>
          </w:p>
        </w:tc>
      </w:tr>
      <w:tr w:rsidR="000D5553" w:rsidRPr="000041BA" w14:paraId="2AB8FAC4" w14:textId="77777777" w:rsidTr="000041BA">
        <w:trPr>
          <w:trHeight w:val="20"/>
        </w:trPr>
        <w:tc>
          <w:tcPr>
            <w:tcW w:w="0" w:type="auto"/>
            <w:tcBorders>
              <w:top w:val="nil"/>
              <w:left w:val="nil"/>
              <w:bottom w:val="nil"/>
              <w:right w:val="nil"/>
            </w:tcBorders>
            <w:shd w:val="clear" w:color="auto" w:fill="auto"/>
            <w:noWrap/>
            <w:vAlign w:val="center"/>
            <w:hideMark/>
          </w:tcPr>
          <w:p w14:paraId="7A10CC6A" w14:textId="3BC1F099" w:rsidR="000D5553" w:rsidRPr="000041BA" w:rsidRDefault="000D5553" w:rsidP="003B6635">
            <w:pPr>
              <w:rPr>
                <w:rFonts w:eastAsia="Times New Roman"/>
                <w:color w:val="000000"/>
                <w:sz w:val="22"/>
                <w:szCs w:val="22"/>
              </w:rPr>
            </w:pPr>
            <w:r w:rsidRPr="000041BA">
              <w:rPr>
                <w:rFonts w:eastAsia="Times New Roman"/>
                <w:color w:val="000000"/>
                <w:sz w:val="22"/>
                <w:szCs w:val="22"/>
              </w:rPr>
              <w:t>Eq. Pacific</w:t>
            </w:r>
          </w:p>
        </w:tc>
        <w:tc>
          <w:tcPr>
            <w:tcW w:w="0" w:type="auto"/>
            <w:tcBorders>
              <w:top w:val="nil"/>
              <w:left w:val="nil"/>
              <w:bottom w:val="nil"/>
              <w:right w:val="nil"/>
            </w:tcBorders>
            <w:shd w:val="clear" w:color="auto" w:fill="auto"/>
            <w:noWrap/>
            <w:vAlign w:val="center"/>
            <w:hideMark/>
          </w:tcPr>
          <w:p w14:paraId="717EF4BE" w14:textId="70CB1404"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0°N</w:t>
            </w:r>
          </w:p>
        </w:tc>
        <w:tc>
          <w:tcPr>
            <w:tcW w:w="0" w:type="auto"/>
            <w:tcBorders>
              <w:top w:val="nil"/>
              <w:left w:val="nil"/>
              <w:bottom w:val="nil"/>
              <w:right w:val="nil"/>
            </w:tcBorders>
            <w:shd w:val="clear" w:color="auto" w:fill="auto"/>
            <w:noWrap/>
            <w:vAlign w:val="center"/>
            <w:hideMark/>
          </w:tcPr>
          <w:p w14:paraId="2E800F24" w14:textId="59C48D3A"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170°W</w:t>
            </w:r>
          </w:p>
        </w:tc>
        <w:tc>
          <w:tcPr>
            <w:tcW w:w="0" w:type="auto"/>
            <w:tcBorders>
              <w:top w:val="nil"/>
              <w:left w:val="nil"/>
              <w:bottom w:val="nil"/>
              <w:right w:val="nil"/>
            </w:tcBorders>
            <w:shd w:val="clear" w:color="000000" w:fill="E7E6E6"/>
            <w:noWrap/>
            <w:vAlign w:val="center"/>
            <w:hideMark/>
          </w:tcPr>
          <w:p w14:paraId="01D1A422" w14:textId="7132190F"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 </w:t>
            </w:r>
          </w:p>
        </w:tc>
        <w:tc>
          <w:tcPr>
            <w:tcW w:w="0" w:type="auto"/>
            <w:tcBorders>
              <w:top w:val="nil"/>
              <w:left w:val="nil"/>
              <w:bottom w:val="nil"/>
              <w:right w:val="nil"/>
            </w:tcBorders>
            <w:shd w:val="clear" w:color="auto" w:fill="auto"/>
            <w:noWrap/>
            <w:vAlign w:val="center"/>
            <w:hideMark/>
          </w:tcPr>
          <w:p w14:paraId="62926DD6" w14:textId="37DFB050"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0.008</w:t>
            </w:r>
          </w:p>
        </w:tc>
        <w:tc>
          <w:tcPr>
            <w:tcW w:w="0" w:type="auto"/>
            <w:tcBorders>
              <w:top w:val="nil"/>
              <w:left w:val="nil"/>
              <w:bottom w:val="nil"/>
              <w:right w:val="nil"/>
            </w:tcBorders>
            <w:shd w:val="clear" w:color="000000" w:fill="E7E6E6"/>
            <w:noWrap/>
            <w:vAlign w:val="center"/>
            <w:hideMark/>
          </w:tcPr>
          <w:p w14:paraId="268CA182" w14:textId="76877DB7"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0.81</w:t>
            </w:r>
          </w:p>
        </w:tc>
        <w:tc>
          <w:tcPr>
            <w:tcW w:w="0" w:type="auto"/>
            <w:tcBorders>
              <w:top w:val="nil"/>
              <w:left w:val="nil"/>
              <w:bottom w:val="nil"/>
              <w:right w:val="nil"/>
            </w:tcBorders>
            <w:shd w:val="clear" w:color="auto" w:fill="auto"/>
            <w:noWrap/>
            <w:vAlign w:val="center"/>
            <w:hideMark/>
          </w:tcPr>
          <w:p w14:paraId="7C1CBEE1" w14:textId="541545E8"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0.45</w:t>
            </w:r>
          </w:p>
        </w:tc>
        <w:tc>
          <w:tcPr>
            <w:tcW w:w="0" w:type="auto"/>
            <w:tcBorders>
              <w:top w:val="nil"/>
              <w:left w:val="nil"/>
              <w:bottom w:val="nil"/>
              <w:right w:val="nil"/>
            </w:tcBorders>
            <w:shd w:val="clear" w:color="000000" w:fill="E7E6E6"/>
            <w:noWrap/>
            <w:vAlign w:val="center"/>
            <w:hideMark/>
          </w:tcPr>
          <w:p w14:paraId="75D3C8F4" w14:textId="44A079F4"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-0.0006</w:t>
            </w:r>
          </w:p>
        </w:tc>
        <w:tc>
          <w:tcPr>
            <w:tcW w:w="0" w:type="auto"/>
            <w:tcBorders>
              <w:top w:val="nil"/>
              <w:left w:val="nil"/>
              <w:bottom w:val="nil"/>
              <w:right w:val="nil"/>
            </w:tcBorders>
            <w:shd w:val="clear" w:color="auto" w:fill="auto"/>
            <w:noWrap/>
            <w:vAlign w:val="center"/>
            <w:hideMark/>
          </w:tcPr>
          <w:p w14:paraId="58D1255C" w14:textId="74E91A6E"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-0.0008</w:t>
            </w:r>
          </w:p>
        </w:tc>
        <w:tc>
          <w:tcPr>
            <w:tcW w:w="0" w:type="auto"/>
            <w:tcBorders>
              <w:top w:val="nil"/>
              <w:left w:val="nil"/>
              <w:bottom w:val="nil"/>
              <w:right w:val="nil"/>
            </w:tcBorders>
            <w:shd w:val="clear" w:color="000000" w:fill="E7E6E6"/>
            <w:noWrap/>
            <w:vAlign w:val="center"/>
            <w:hideMark/>
          </w:tcPr>
          <w:p w14:paraId="6A9329D7" w14:textId="1BF8CF25"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1</w:t>
            </w:r>
          </w:p>
        </w:tc>
      </w:tr>
      <w:tr w:rsidR="000D5553" w:rsidRPr="000041BA" w14:paraId="77834D81" w14:textId="77777777" w:rsidTr="000041BA">
        <w:trPr>
          <w:trHeight w:val="20"/>
        </w:trPr>
        <w:tc>
          <w:tcPr>
            <w:tcW w:w="0" w:type="auto"/>
            <w:tcBorders>
              <w:top w:val="nil"/>
              <w:left w:val="nil"/>
              <w:bottom w:val="nil"/>
              <w:right w:val="nil"/>
            </w:tcBorders>
            <w:shd w:val="clear" w:color="auto" w:fill="auto"/>
            <w:noWrap/>
            <w:vAlign w:val="center"/>
            <w:hideMark/>
          </w:tcPr>
          <w:p w14:paraId="15790CFE" w14:textId="42008A34" w:rsidR="000D5553" w:rsidRPr="000041BA" w:rsidRDefault="000D5553" w:rsidP="003B6635">
            <w:pPr>
              <w:rPr>
                <w:rFonts w:eastAsia="Times New Roman"/>
                <w:color w:val="000000"/>
                <w:sz w:val="22"/>
                <w:szCs w:val="22"/>
              </w:rPr>
            </w:pPr>
            <w:r w:rsidRPr="000041BA">
              <w:rPr>
                <w:rFonts w:eastAsia="Times New Roman"/>
                <w:color w:val="000000"/>
                <w:sz w:val="22"/>
                <w:szCs w:val="22"/>
              </w:rPr>
              <w:t>Eq. Pacific</w:t>
            </w:r>
          </w:p>
        </w:tc>
        <w:tc>
          <w:tcPr>
            <w:tcW w:w="0" w:type="auto"/>
            <w:tcBorders>
              <w:top w:val="nil"/>
              <w:left w:val="nil"/>
              <w:bottom w:val="nil"/>
              <w:right w:val="nil"/>
            </w:tcBorders>
            <w:shd w:val="clear" w:color="auto" w:fill="auto"/>
            <w:noWrap/>
            <w:vAlign w:val="center"/>
            <w:hideMark/>
          </w:tcPr>
          <w:p w14:paraId="5FF4334E" w14:textId="2DD941EE"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0°N</w:t>
            </w:r>
          </w:p>
        </w:tc>
        <w:tc>
          <w:tcPr>
            <w:tcW w:w="0" w:type="auto"/>
            <w:tcBorders>
              <w:top w:val="nil"/>
              <w:left w:val="nil"/>
              <w:bottom w:val="nil"/>
              <w:right w:val="nil"/>
            </w:tcBorders>
            <w:shd w:val="clear" w:color="auto" w:fill="auto"/>
            <w:noWrap/>
            <w:vAlign w:val="center"/>
            <w:hideMark/>
          </w:tcPr>
          <w:p w14:paraId="366118AB" w14:textId="101598DA"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155°W</w:t>
            </w:r>
          </w:p>
        </w:tc>
        <w:tc>
          <w:tcPr>
            <w:tcW w:w="0" w:type="auto"/>
            <w:tcBorders>
              <w:top w:val="nil"/>
              <w:left w:val="nil"/>
              <w:bottom w:val="nil"/>
              <w:right w:val="nil"/>
            </w:tcBorders>
            <w:shd w:val="clear" w:color="000000" w:fill="E7E6E6"/>
            <w:noWrap/>
            <w:vAlign w:val="center"/>
            <w:hideMark/>
          </w:tcPr>
          <w:p w14:paraId="45FC3016" w14:textId="2F3E1E9F"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 </w:t>
            </w:r>
          </w:p>
        </w:tc>
        <w:tc>
          <w:tcPr>
            <w:tcW w:w="0" w:type="auto"/>
            <w:tcBorders>
              <w:top w:val="nil"/>
              <w:left w:val="nil"/>
              <w:bottom w:val="nil"/>
              <w:right w:val="nil"/>
            </w:tcBorders>
            <w:shd w:val="clear" w:color="auto" w:fill="auto"/>
            <w:noWrap/>
            <w:vAlign w:val="center"/>
            <w:hideMark/>
          </w:tcPr>
          <w:p w14:paraId="76CD9F45" w14:textId="3AC63E05"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0.008</w:t>
            </w:r>
          </w:p>
        </w:tc>
        <w:tc>
          <w:tcPr>
            <w:tcW w:w="0" w:type="auto"/>
            <w:tcBorders>
              <w:top w:val="nil"/>
              <w:left w:val="nil"/>
              <w:bottom w:val="nil"/>
              <w:right w:val="nil"/>
            </w:tcBorders>
            <w:shd w:val="clear" w:color="000000" w:fill="E7E6E6"/>
            <w:noWrap/>
            <w:vAlign w:val="center"/>
            <w:hideMark/>
          </w:tcPr>
          <w:p w14:paraId="49640DC1" w14:textId="375BC027"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0.50</w:t>
            </w:r>
          </w:p>
        </w:tc>
        <w:tc>
          <w:tcPr>
            <w:tcW w:w="0" w:type="auto"/>
            <w:tcBorders>
              <w:top w:val="nil"/>
              <w:left w:val="nil"/>
              <w:bottom w:val="nil"/>
              <w:right w:val="nil"/>
            </w:tcBorders>
            <w:shd w:val="clear" w:color="auto" w:fill="auto"/>
            <w:noWrap/>
            <w:vAlign w:val="center"/>
            <w:hideMark/>
          </w:tcPr>
          <w:p w14:paraId="1E709057" w14:textId="2952DC51"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0.45</w:t>
            </w:r>
          </w:p>
        </w:tc>
        <w:tc>
          <w:tcPr>
            <w:tcW w:w="0" w:type="auto"/>
            <w:tcBorders>
              <w:top w:val="nil"/>
              <w:left w:val="nil"/>
              <w:bottom w:val="nil"/>
              <w:right w:val="nil"/>
            </w:tcBorders>
            <w:shd w:val="clear" w:color="000000" w:fill="E7E6E6"/>
            <w:noWrap/>
            <w:vAlign w:val="center"/>
            <w:hideMark/>
          </w:tcPr>
          <w:p w14:paraId="5F5E0A4F" w14:textId="6881C669"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-0.0008</w:t>
            </w:r>
          </w:p>
        </w:tc>
        <w:tc>
          <w:tcPr>
            <w:tcW w:w="0" w:type="auto"/>
            <w:tcBorders>
              <w:top w:val="nil"/>
              <w:left w:val="nil"/>
              <w:bottom w:val="nil"/>
              <w:right w:val="nil"/>
            </w:tcBorders>
            <w:shd w:val="clear" w:color="auto" w:fill="auto"/>
            <w:noWrap/>
            <w:vAlign w:val="center"/>
            <w:hideMark/>
          </w:tcPr>
          <w:p w14:paraId="35BE5516" w14:textId="4E377901"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-0.0008</w:t>
            </w:r>
          </w:p>
        </w:tc>
        <w:tc>
          <w:tcPr>
            <w:tcW w:w="0" w:type="auto"/>
            <w:tcBorders>
              <w:top w:val="nil"/>
              <w:left w:val="nil"/>
              <w:bottom w:val="nil"/>
              <w:right w:val="nil"/>
            </w:tcBorders>
            <w:shd w:val="clear" w:color="000000" w:fill="E7E6E6"/>
            <w:noWrap/>
            <w:vAlign w:val="center"/>
            <w:hideMark/>
          </w:tcPr>
          <w:p w14:paraId="61D30568" w14:textId="0445BFD2"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1</w:t>
            </w:r>
          </w:p>
        </w:tc>
      </w:tr>
      <w:tr w:rsidR="000D5553" w:rsidRPr="000041BA" w14:paraId="13344F2C" w14:textId="77777777" w:rsidTr="000041BA">
        <w:trPr>
          <w:trHeight w:val="20"/>
        </w:trPr>
        <w:tc>
          <w:tcPr>
            <w:tcW w:w="0" w:type="auto"/>
            <w:tcBorders>
              <w:top w:val="nil"/>
              <w:left w:val="nil"/>
              <w:bottom w:val="nil"/>
              <w:right w:val="nil"/>
            </w:tcBorders>
            <w:shd w:val="clear" w:color="auto" w:fill="auto"/>
            <w:noWrap/>
            <w:vAlign w:val="center"/>
            <w:hideMark/>
          </w:tcPr>
          <w:p w14:paraId="03414F32" w14:textId="63FBB440" w:rsidR="000D5553" w:rsidRPr="000041BA" w:rsidRDefault="000D5553" w:rsidP="003B6635">
            <w:pPr>
              <w:rPr>
                <w:rFonts w:eastAsia="Times New Roman"/>
                <w:color w:val="000000"/>
                <w:sz w:val="22"/>
                <w:szCs w:val="22"/>
              </w:rPr>
            </w:pPr>
            <w:r w:rsidRPr="000041BA">
              <w:rPr>
                <w:rFonts w:eastAsia="Times New Roman"/>
                <w:color w:val="000000"/>
                <w:sz w:val="22"/>
                <w:szCs w:val="22"/>
              </w:rPr>
              <w:t>Eq. Pacific</w:t>
            </w:r>
          </w:p>
        </w:tc>
        <w:tc>
          <w:tcPr>
            <w:tcW w:w="0" w:type="auto"/>
            <w:tcBorders>
              <w:top w:val="nil"/>
              <w:left w:val="nil"/>
              <w:bottom w:val="nil"/>
              <w:right w:val="nil"/>
            </w:tcBorders>
            <w:shd w:val="clear" w:color="auto" w:fill="auto"/>
            <w:noWrap/>
            <w:vAlign w:val="center"/>
            <w:hideMark/>
          </w:tcPr>
          <w:p w14:paraId="7B87D20E" w14:textId="6A7E59A1"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0°N</w:t>
            </w:r>
          </w:p>
        </w:tc>
        <w:tc>
          <w:tcPr>
            <w:tcW w:w="0" w:type="auto"/>
            <w:tcBorders>
              <w:top w:val="nil"/>
              <w:left w:val="nil"/>
              <w:bottom w:val="nil"/>
              <w:right w:val="nil"/>
            </w:tcBorders>
            <w:shd w:val="clear" w:color="auto" w:fill="auto"/>
            <w:noWrap/>
            <w:vAlign w:val="center"/>
            <w:hideMark/>
          </w:tcPr>
          <w:p w14:paraId="24925954" w14:textId="4192AF6B"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140°W</w:t>
            </w:r>
          </w:p>
        </w:tc>
        <w:tc>
          <w:tcPr>
            <w:tcW w:w="0" w:type="auto"/>
            <w:tcBorders>
              <w:top w:val="nil"/>
              <w:left w:val="nil"/>
              <w:bottom w:val="nil"/>
              <w:right w:val="nil"/>
            </w:tcBorders>
            <w:shd w:val="clear" w:color="000000" w:fill="E7E6E6"/>
            <w:noWrap/>
            <w:vAlign w:val="center"/>
            <w:hideMark/>
          </w:tcPr>
          <w:p w14:paraId="1D79A7D6" w14:textId="17C9EAB2"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 </w:t>
            </w:r>
          </w:p>
        </w:tc>
        <w:tc>
          <w:tcPr>
            <w:tcW w:w="0" w:type="auto"/>
            <w:tcBorders>
              <w:top w:val="nil"/>
              <w:left w:val="nil"/>
              <w:bottom w:val="nil"/>
              <w:right w:val="nil"/>
            </w:tcBorders>
            <w:shd w:val="clear" w:color="auto" w:fill="auto"/>
            <w:noWrap/>
            <w:vAlign w:val="center"/>
            <w:hideMark/>
          </w:tcPr>
          <w:p w14:paraId="5F2878AF" w14:textId="2785DE42"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0.008</w:t>
            </w:r>
          </w:p>
        </w:tc>
        <w:tc>
          <w:tcPr>
            <w:tcW w:w="0" w:type="auto"/>
            <w:tcBorders>
              <w:top w:val="nil"/>
              <w:left w:val="nil"/>
              <w:bottom w:val="nil"/>
              <w:right w:val="nil"/>
            </w:tcBorders>
            <w:shd w:val="clear" w:color="000000" w:fill="E7E6E6"/>
            <w:noWrap/>
            <w:vAlign w:val="center"/>
            <w:hideMark/>
          </w:tcPr>
          <w:p w14:paraId="2EAAB767" w14:textId="4F59134C"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0.13</w:t>
            </w:r>
          </w:p>
        </w:tc>
        <w:tc>
          <w:tcPr>
            <w:tcW w:w="0" w:type="auto"/>
            <w:tcBorders>
              <w:top w:val="nil"/>
              <w:left w:val="nil"/>
              <w:bottom w:val="nil"/>
              <w:right w:val="nil"/>
            </w:tcBorders>
            <w:shd w:val="clear" w:color="auto" w:fill="auto"/>
            <w:noWrap/>
            <w:vAlign w:val="center"/>
            <w:hideMark/>
          </w:tcPr>
          <w:p w14:paraId="664ABE7C" w14:textId="4BD99FF4"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0.42</w:t>
            </w:r>
          </w:p>
        </w:tc>
        <w:tc>
          <w:tcPr>
            <w:tcW w:w="0" w:type="auto"/>
            <w:tcBorders>
              <w:top w:val="nil"/>
              <w:left w:val="nil"/>
              <w:bottom w:val="nil"/>
              <w:right w:val="nil"/>
            </w:tcBorders>
            <w:shd w:val="clear" w:color="000000" w:fill="E7E6E6"/>
            <w:noWrap/>
            <w:vAlign w:val="center"/>
            <w:hideMark/>
          </w:tcPr>
          <w:p w14:paraId="5C7A939B" w14:textId="2C03EE5D"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-0.0008</w:t>
            </w:r>
          </w:p>
        </w:tc>
        <w:tc>
          <w:tcPr>
            <w:tcW w:w="0" w:type="auto"/>
            <w:tcBorders>
              <w:top w:val="nil"/>
              <w:left w:val="nil"/>
              <w:bottom w:val="nil"/>
              <w:right w:val="nil"/>
            </w:tcBorders>
            <w:shd w:val="clear" w:color="auto" w:fill="auto"/>
            <w:noWrap/>
            <w:vAlign w:val="center"/>
            <w:hideMark/>
          </w:tcPr>
          <w:p w14:paraId="657D851C" w14:textId="74B2B81B"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-0.0008</w:t>
            </w:r>
          </w:p>
        </w:tc>
        <w:tc>
          <w:tcPr>
            <w:tcW w:w="0" w:type="auto"/>
            <w:tcBorders>
              <w:top w:val="nil"/>
              <w:left w:val="nil"/>
              <w:bottom w:val="nil"/>
              <w:right w:val="nil"/>
            </w:tcBorders>
            <w:shd w:val="clear" w:color="000000" w:fill="E7E6E6"/>
            <w:noWrap/>
            <w:vAlign w:val="center"/>
            <w:hideMark/>
          </w:tcPr>
          <w:p w14:paraId="1B688147" w14:textId="5098EB33"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1</w:t>
            </w:r>
          </w:p>
        </w:tc>
      </w:tr>
      <w:tr w:rsidR="000D5553" w:rsidRPr="000041BA" w14:paraId="39786673" w14:textId="77777777" w:rsidTr="000041BA">
        <w:trPr>
          <w:trHeight w:val="20"/>
        </w:trPr>
        <w:tc>
          <w:tcPr>
            <w:tcW w:w="0" w:type="auto"/>
            <w:tcBorders>
              <w:top w:val="nil"/>
              <w:left w:val="nil"/>
              <w:bottom w:val="nil"/>
              <w:right w:val="nil"/>
            </w:tcBorders>
            <w:shd w:val="clear" w:color="auto" w:fill="auto"/>
            <w:noWrap/>
            <w:vAlign w:val="center"/>
            <w:hideMark/>
          </w:tcPr>
          <w:p w14:paraId="58CDFE4F" w14:textId="013FF4C3" w:rsidR="000D5553" w:rsidRPr="000041BA" w:rsidRDefault="000D5553" w:rsidP="003B6635">
            <w:pPr>
              <w:rPr>
                <w:rFonts w:eastAsia="Times New Roman"/>
                <w:color w:val="000000"/>
                <w:sz w:val="22"/>
                <w:szCs w:val="22"/>
              </w:rPr>
            </w:pPr>
            <w:r w:rsidRPr="000041BA">
              <w:rPr>
                <w:rFonts w:eastAsia="Times New Roman"/>
                <w:color w:val="000000"/>
                <w:sz w:val="22"/>
                <w:szCs w:val="22"/>
              </w:rPr>
              <w:t>Eq. Pacific</w:t>
            </w:r>
          </w:p>
        </w:tc>
        <w:tc>
          <w:tcPr>
            <w:tcW w:w="0" w:type="auto"/>
            <w:tcBorders>
              <w:top w:val="nil"/>
              <w:left w:val="nil"/>
              <w:bottom w:val="nil"/>
              <w:right w:val="nil"/>
            </w:tcBorders>
            <w:shd w:val="clear" w:color="auto" w:fill="auto"/>
            <w:noWrap/>
            <w:vAlign w:val="center"/>
            <w:hideMark/>
          </w:tcPr>
          <w:p w14:paraId="71A206CC" w14:textId="6EDBFA6F"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0°N</w:t>
            </w:r>
          </w:p>
        </w:tc>
        <w:tc>
          <w:tcPr>
            <w:tcW w:w="0" w:type="auto"/>
            <w:tcBorders>
              <w:top w:val="nil"/>
              <w:left w:val="nil"/>
              <w:bottom w:val="nil"/>
              <w:right w:val="nil"/>
            </w:tcBorders>
            <w:shd w:val="clear" w:color="auto" w:fill="auto"/>
            <w:noWrap/>
            <w:vAlign w:val="center"/>
            <w:hideMark/>
          </w:tcPr>
          <w:p w14:paraId="6FEBA1BD" w14:textId="534CDFE9"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125°W</w:t>
            </w:r>
          </w:p>
        </w:tc>
        <w:tc>
          <w:tcPr>
            <w:tcW w:w="0" w:type="auto"/>
            <w:tcBorders>
              <w:top w:val="nil"/>
              <w:left w:val="nil"/>
              <w:bottom w:val="nil"/>
              <w:right w:val="nil"/>
            </w:tcBorders>
            <w:shd w:val="clear" w:color="000000" w:fill="E7E6E6"/>
            <w:noWrap/>
            <w:vAlign w:val="center"/>
            <w:hideMark/>
          </w:tcPr>
          <w:p w14:paraId="3DA8C393" w14:textId="1DC03881"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 </w:t>
            </w:r>
          </w:p>
        </w:tc>
        <w:tc>
          <w:tcPr>
            <w:tcW w:w="0" w:type="auto"/>
            <w:tcBorders>
              <w:top w:val="nil"/>
              <w:left w:val="nil"/>
              <w:bottom w:val="nil"/>
              <w:right w:val="nil"/>
            </w:tcBorders>
            <w:shd w:val="clear" w:color="auto" w:fill="auto"/>
            <w:noWrap/>
            <w:vAlign w:val="center"/>
            <w:hideMark/>
          </w:tcPr>
          <w:p w14:paraId="0E63B83F" w14:textId="446D1890"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0.009</w:t>
            </w:r>
          </w:p>
        </w:tc>
        <w:tc>
          <w:tcPr>
            <w:tcW w:w="0" w:type="auto"/>
            <w:tcBorders>
              <w:top w:val="nil"/>
              <w:left w:val="nil"/>
              <w:bottom w:val="nil"/>
              <w:right w:val="nil"/>
            </w:tcBorders>
            <w:shd w:val="clear" w:color="000000" w:fill="E7E6E6"/>
            <w:noWrap/>
            <w:vAlign w:val="center"/>
            <w:hideMark/>
          </w:tcPr>
          <w:p w14:paraId="229FF433" w14:textId="3DC1896E"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0.42</w:t>
            </w:r>
          </w:p>
        </w:tc>
        <w:tc>
          <w:tcPr>
            <w:tcW w:w="0" w:type="auto"/>
            <w:tcBorders>
              <w:top w:val="nil"/>
              <w:left w:val="nil"/>
              <w:bottom w:val="nil"/>
              <w:right w:val="nil"/>
            </w:tcBorders>
            <w:shd w:val="clear" w:color="auto" w:fill="auto"/>
            <w:noWrap/>
            <w:vAlign w:val="center"/>
            <w:hideMark/>
          </w:tcPr>
          <w:p w14:paraId="6D67FB8D" w14:textId="633AD6C9"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0.40</w:t>
            </w:r>
          </w:p>
        </w:tc>
        <w:tc>
          <w:tcPr>
            <w:tcW w:w="0" w:type="auto"/>
            <w:tcBorders>
              <w:top w:val="nil"/>
              <w:left w:val="nil"/>
              <w:bottom w:val="nil"/>
              <w:right w:val="nil"/>
            </w:tcBorders>
            <w:shd w:val="clear" w:color="000000" w:fill="E7E6E6"/>
            <w:noWrap/>
            <w:vAlign w:val="center"/>
            <w:hideMark/>
          </w:tcPr>
          <w:p w14:paraId="492A44D0" w14:textId="5E765FD5"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-0.0008</w:t>
            </w:r>
          </w:p>
        </w:tc>
        <w:tc>
          <w:tcPr>
            <w:tcW w:w="0" w:type="auto"/>
            <w:tcBorders>
              <w:top w:val="nil"/>
              <w:left w:val="nil"/>
              <w:bottom w:val="nil"/>
              <w:right w:val="nil"/>
            </w:tcBorders>
            <w:shd w:val="clear" w:color="auto" w:fill="auto"/>
            <w:noWrap/>
            <w:vAlign w:val="center"/>
            <w:hideMark/>
          </w:tcPr>
          <w:p w14:paraId="759EAB50" w14:textId="12C97A11"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-0.0007</w:t>
            </w:r>
          </w:p>
        </w:tc>
        <w:tc>
          <w:tcPr>
            <w:tcW w:w="0" w:type="auto"/>
            <w:tcBorders>
              <w:top w:val="nil"/>
              <w:left w:val="nil"/>
              <w:bottom w:val="nil"/>
              <w:right w:val="nil"/>
            </w:tcBorders>
            <w:shd w:val="clear" w:color="000000" w:fill="E7E6E6"/>
            <w:noWrap/>
            <w:vAlign w:val="center"/>
            <w:hideMark/>
          </w:tcPr>
          <w:p w14:paraId="631F0E67" w14:textId="39047D10"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1</w:t>
            </w:r>
          </w:p>
        </w:tc>
      </w:tr>
      <w:tr w:rsidR="000D5553" w:rsidRPr="000041BA" w14:paraId="11F8DC5A" w14:textId="77777777" w:rsidTr="000041BA">
        <w:trPr>
          <w:trHeight w:val="20"/>
        </w:trPr>
        <w:tc>
          <w:tcPr>
            <w:tcW w:w="0" w:type="auto"/>
            <w:tcBorders>
              <w:top w:val="nil"/>
              <w:left w:val="nil"/>
              <w:bottom w:val="nil"/>
              <w:right w:val="nil"/>
            </w:tcBorders>
            <w:shd w:val="clear" w:color="auto" w:fill="auto"/>
            <w:noWrap/>
            <w:vAlign w:val="center"/>
            <w:hideMark/>
          </w:tcPr>
          <w:p w14:paraId="5AFF2C3B" w14:textId="0B7F98D8" w:rsidR="000D5553" w:rsidRPr="000041BA" w:rsidRDefault="000D5553" w:rsidP="003B6635">
            <w:pPr>
              <w:rPr>
                <w:rFonts w:eastAsia="Times New Roman"/>
                <w:color w:val="000000"/>
                <w:sz w:val="22"/>
                <w:szCs w:val="22"/>
              </w:rPr>
            </w:pPr>
            <w:r w:rsidRPr="000041BA">
              <w:rPr>
                <w:rFonts w:eastAsia="Times New Roman"/>
                <w:color w:val="000000"/>
                <w:sz w:val="22"/>
                <w:szCs w:val="22"/>
              </w:rPr>
              <w:t>Iceland Sea</w:t>
            </w:r>
          </w:p>
        </w:tc>
        <w:tc>
          <w:tcPr>
            <w:tcW w:w="0" w:type="auto"/>
            <w:tcBorders>
              <w:top w:val="nil"/>
              <w:left w:val="nil"/>
              <w:bottom w:val="nil"/>
              <w:right w:val="nil"/>
            </w:tcBorders>
            <w:shd w:val="clear" w:color="auto" w:fill="auto"/>
            <w:noWrap/>
            <w:vAlign w:val="center"/>
            <w:hideMark/>
          </w:tcPr>
          <w:p w14:paraId="0A50C734" w14:textId="4C182A9F"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68°N</w:t>
            </w:r>
          </w:p>
        </w:tc>
        <w:tc>
          <w:tcPr>
            <w:tcW w:w="0" w:type="auto"/>
            <w:tcBorders>
              <w:top w:val="nil"/>
              <w:left w:val="nil"/>
              <w:bottom w:val="nil"/>
              <w:right w:val="nil"/>
            </w:tcBorders>
            <w:shd w:val="clear" w:color="auto" w:fill="auto"/>
            <w:noWrap/>
            <w:vAlign w:val="center"/>
            <w:hideMark/>
          </w:tcPr>
          <w:p w14:paraId="57F6BB5B" w14:textId="56E5E42F"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12.66°W</w:t>
            </w:r>
          </w:p>
        </w:tc>
        <w:tc>
          <w:tcPr>
            <w:tcW w:w="0" w:type="auto"/>
            <w:tcBorders>
              <w:top w:val="nil"/>
              <w:left w:val="nil"/>
              <w:bottom w:val="nil"/>
              <w:right w:val="nil"/>
            </w:tcBorders>
            <w:shd w:val="clear" w:color="000000" w:fill="E7E6E6"/>
            <w:noWrap/>
            <w:vAlign w:val="center"/>
            <w:hideMark/>
          </w:tcPr>
          <w:p w14:paraId="2F7E6501" w14:textId="752CB9A4"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0.015</w:t>
            </w:r>
          </w:p>
        </w:tc>
        <w:tc>
          <w:tcPr>
            <w:tcW w:w="0" w:type="auto"/>
            <w:tcBorders>
              <w:top w:val="nil"/>
              <w:left w:val="nil"/>
              <w:bottom w:val="nil"/>
              <w:right w:val="nil"/>
            </w:tcBorders>
            <w:shd w:val="clear" w:color="auto" w:fill="auto"/>
            <w:noWrap/>
            <w:vAlign w:val="center"/>
            <w:hideMark/>
          </w:tcPr>
          <w:p w14:paraId="1EF5B420" w14:textId="181329DF"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0.020</w:t>
            </w:r>
          </w:p>
        </w:tc>
        <w:tc>
          <w:tcPr>
            <w:tcW w:w="0" w:type="auto"/>
            <w:tcBorders>
              <w:top w:val="nil"/>
              <w:left w:val="nil"/>
              <w:bottom w:val="nil"/>
              <w:right w:val="nil"/>
            </w:tcBorders>
            <w:shd w:val="clear" w:color="000000" w:fill="E7E6E6"/>
            <w:noWrap/>
            <w:vAlign w:val="center"/>
            <w:hideMark/>
          </w:tcPr>
          <w:p w14:paraId="530C0485" w14:textId="771A7EC7"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0.72</w:t>
            </w:r>
          </w:p>
        </w:tc>
        <w:tc>
          <w:tcPr>
            <w:tcW w:w="0" w:type="auto"/>
            <w:tcBorders>
              <w:top w:val="nil"/>
              <w:left w:val="nil"/>
              <w:bottom w:val="nil"/>
              <w:right w:val="nil"/>
            </w:tcBorders>
            <w:shd w:val="clear" w:color="auto" w:fill="auto"/>
            <w:noWrap/>
            <w:vAlign w:val="center"/>
            <w:hideMark/>
          </w:tcPr>
          <w:p w14:paraId="0F163471" w14:textId="6748CD81"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0.59</w:t>
            </w:r>
          </w:p>
        </w:tc>
        <w:tc>
          <w:tcPr>
            <w:tcW w:w="0" w:type="auto"/>
            <w:tcBorders>
              <w:top w:val="nil"/>
              <w:left w:val="nil"/>
              <w:bottom w:val="nil"/>
              <w:right w:val="nil"/>
            </w:tcBorders>
            <w:shd w:val="clear" w:color="000000" w:fill="E7E6E6"/>
            <w:noWrap/>
            <w:vAlign w:val="center"/>
            <w:hideMark/>
          </w:tcPr>
          <w:p w14:paraId="61E68986" w14:textId="088486AD"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-0.0011</w:t>
            </w:r>
          </w:p>
        </w:tc>
        <w:tc>
          <w:tcPr>
            <w:tcW w:w="0" w:type="auto"/>
            <w:tcBorders>
              <w:top w:val="nil"/>
              <w:left w:val="nil"/>
              <w:bottom w:val="nil"/>
              <w:right w:val="nil"/>
            </w:tcBorders>
            <w:shd w:val="clear" w:color="auto" w:fill="auto"/>
            <w:noWrap/>
            <w:vAlign w:val="center"/>
            <w:hideMark/>
          </w:tcPr>
          <w:p w14:paraId="6436B58A" w14:textId="360D4A1E"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-0.0013</w:t>
            </w:r>
          </w:p>
        </w:tc>
        <w:tc>
          <w:tcPr>
            <w:tcW w:w="0" w:type="auto"/>
            <w:tcBorders>
              <w:top w:val="nil"/>
              <w:left w:val="nil"/>
              <w:bottom w:val="nil"/>
              <w:right w:val="nil"/>
            </w:tcBorders>
            <w:shd w:val="clear" w:color="000000" w:fill="E7E6E6"/>
            <w:noWrap/>
            <w:vAlign w:val="center"/>
            <w:hideMark/>
          </w:tcPr>
          <w:p w14:paraId="21DF6380" w14:textId="774CD0B6"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2</w:t>
            </w:r>
          </w:p>
        </w:tc>
      </w:tr>
      <w:tr w:rsidR="000D5553" w:rsidRPr="000041BA" w14:paraId="5D05577F" w14:textId="77777777" w:rsidTr="000041BA">
        <w:trPr>
          <w:trHeight w:val="20"/>
        </w:trPr>
        <w:tc>
          <w:tcPr>
            <w:tcW w:w="0" w:type="auto"/>
            <w:tcBorders>
              <w:top w:val="nil"/>
              <w:left w:val="nil"/>
              <w:bottom w:val="nil"/>
              <w:right w:val="nil"/>
            </w:tcBorders>
            <w:shd w:val="clear" w:color="auto" w:fill="auto"/>
            <w:noWrap/>
            <w:vAlign w:val="center"/>
            <w:hideMark/>
          </w:tcPr>
          <w:p w14:paraId="132A1AAD" w14:textId="036E2002" w:rsidR="000D5553" w:rsidRPr="000041BA" w:rsidRDefault="000D5553" w:rsidP="003B6635">
            <w:pPr>
              <w:rPr>
                <w:rFonts w:eastAsia="Times New Roman"/>
                <w:color w:val="000000"/>
                <w:sz w:val="22"/>
                <w:szCs w:val="22"/>
              </w:rPr>
            </w:pPr>
            <w:r w:rsidRPr="000041BA">
              <w:rPr>
                <w:rFonts w:eastAsia="Times New Roman"/>
                <w:color w:val="000000"/>
                <w:sz w:val="22"/>
                <w:szCs w:val="22"/>
              </w:rPr>
              <w:t>Irminger Sea</w:t>
            </w:r>
          </w:p>
        </w:tc>
        <w:tc>
          <w:tcPr>
            <w:tcW w:w="0" w:type="auto"/>
            <w:tcBorders>
              <w:top w:val="nil"/>
              <w:left w:val="nil"/>
              <w:bottom w:val="nil"/>
              <w:right w:val="nil"/>
            </w:tcBorders>
            <w:shd w:val="clear" w:color="auto" w:fill="auto"/>
            <w:noWrap/>
            <w:vAlign w:val="center"/>
            <w:hideMark/>
          </w:tcPr>
          <w:p w14:paraId="514E183E" w14:textId="39413AF4"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64.3°N</w:t>
            </w:r>
          </w:p>
        </w:tc>
        <w:tc>
          <w:tcPr>
            <w:tcW w:w="0" w:type="auto"/>
            <w:tcBorders>
              <w:top w:val="nil"/>
              <w:left w:val="nil"/>
              <w:bottom w:val="nil"/>
              <w:right w:val="nil"/>
            </w:tcBorders>
            <w:shd w:val="clear" w:color="auto" w:fill="auto"/>
            <w:noWrap/>
            <w:vAlign w:val="center"/>
            <w:hideMark/>
          </w:tcPr>
          <w:p w14:paraId="3C04E19C" w14:textId="352D5CF7"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28°W</w:t>
            </w:r>
          </w:p>
        </w:tc>
        <w:tc>
          <w:tcPr>
            <w:tcW w:w="0" w:type="auto"/>
            <w:tcBorders>
              <w:top w:val="nil"/>
              <w:left w:val="nil"/>
              <w:bottom w:val="nil"/>
              <w:right w:val="nil"/>
            </w:tcBorders>
            <w:shd w:val="clear" w:color="000000" w:fill="E7E6E6"/>
            <w:noWrap/>
            <w:vAlign w:val="center"/>
            <w:hideMark/>
          </w:tcPr>
          <w:p w14:paraId="224FE468" w14:textId="45C50A22"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0.013</w:t>
            </w:r>
          </w:p>
        </w:tc>
        <w:tc>
          <w:tcPr>
            <w:tcW w:w="0" w:type="auto"/>
            <w:tcBorders>
              <w:top w:val="nil"/>
              <w:left w:val="nil"/>
              <w:bottom w:val="nil"/>
              <w:right w:val="nil"/>
            </w:tcBorders>
            <w:shd w:val="clear" w:color="auto" w:fill="auto"/>
            <w:noWrap/>
            <w:vAlign w:val="center"/>
            <w:hideMark/>
          </w:tcPr>
          <w:p w14:paraId="6DFA2F3D" w14:textId="4EEFA0BE"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0.016</w:t>
            </w:r>
          </w:p>
        </w:tc>
        <w:tc>
          <w:tcPr>
            <w:tcW w:w="0" w:type="auto"/>
            <w:tcBorders>
              <w:top w:val="nil"/>
              <w:left w:val="nil"/>
              <w:bottom w:val="nil"/>
              <w:right w:val="nil"/>
            </w:tcBorders>
            <w:shd w:val="clear" w:color="000000" w:fill="E7E6E6"/>
            <w:noWrap/>
            <w:vAlign w:val="center"/>
            <w:hideMark/>
          </w:tcPr>
          <w:p w14:paraId="31F31F9D" w14:textId="5E98BA58"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0.63</w:t>
            </w:r>
          </w:p>
        </w:tc>
        <w:tc>
          <w:tcPr>
            <w:tcW w:w="0" w:type="auto"/>
            <w:tcBorders>
              <w:top w:val="nil"/>
              <w:left w:val="nil"/>
              <w:bottom w:val="nil"/>
              <w:right w:val="nil"/>
            </w:tcBorders>
            <w:shd w:val="clear" w:color="auto" w:fill="auto"/>
            <w:noWrap/>
            <w:vAlign w:val="center"/>
            <w:hideMark/>
          </w:tcPr>
          <w:p w14:paraId="5710859A" w14:textId="1FFC314F"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0.55</w:t>
            </w:r>
          </w:p>
        </w:tc>
        <w:tc>
          <w:tcPr>
            <w:tcW w:w="0" w:type="auto"/>
            <w:tcBorders>
              <w:top w:val="nil"/>
              <w:left w:val="nil"/>
              <w:bottom w:val="nil"/>
              <w:right w:val="nil"/>
            </w:tcBorders>
            <w:shd w:val="clear" w:color="000000" w:fill="E7E6E6"/>
            <w:noWrap/>
            <w:vAlign w:val="center"/>
            <w:hideMark/>
          </w:tcPr>
          <w:p w14:paraId="2FE24E4C" w14:textId="78E1CEE1"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-0.0011</w:t>
            </w:r>
          </w:p>
        </w:tc>
        <w:tc>
          <w:tcPr>
            <w:tcW w:w="0" w:type="auto"/>
            <w:tcBorders>
              <w:top w:val="nil"/>
              <w:left w:val="nil"/>
              <w:bottom w:val="nil"/>
              <w:right w:val="nil"/>
            </w:tcBorders>
            <w:shd w:val="clear" w:color="auto" w:fill="auto"/>
            <w:noWrap/>
            <w:vAlign w:val="center"/>
            <w:hideMark/>
          </w:tcPr>
          <w:p w14:paraId="17E27BEC" w14:textId="3AEAC5EA"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-0.0012</w:t>
            </w:r>
          </w:p>
        </w:tc>
        <w:tc>
          <w:tcPr>
            <w:tcW w:w="0" w:type="auto"/>
            <w:tcBorders>
              <w:top w:val="nil"/>
              <w:left w:val="nil"/>
              <w:bottom w:val="nil"/>
              <w:right w:val="nil"/>
            </w:tcBorders>
            <w:shd w:val="clear" w:color="000000" w:fill="E7E6E6"/>
            <w:noWrap/>
            <w:vAlign w:val="center"/>
            <w:hideMark/>
          </w:tcPr>
          <w:p w14:paraId="66B8DD0E" w14:textId="2AE010F1"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2</w:t>
            </w:r>
          </w:p>
        </w:tc>
      </w:tr>
      <w:tr w:rsidR="000D5553" w:rsidRPr="000041BA" w14:paraId="169C38B8" w14:textId="77777777" w:rsidTr="000041BA">
        <w:trPr>
          <w:trHeight w:val="20"/>
        </w:trPr>
        <w:tc>
          <w:tcPr>
            <w:tcW w:w="0" w:type="auto"/>
            <w:tcBorders>
              <w:top w:val="nil"/>
              <w:left w:val="nil"/>
              <w:bottom w:val="nil"/>
              <w:right w:val="nil"/>
            </w:tcBorders>
            <w:shd w:val="clear" w:color="auto" w:fill="auto"/>
            <w:noWrap/>
            <w:vAlign w:val="center"/>
            <w:hideMark/>
          </w:tcPr>
          <w:p w14:paraId="30FA952E" w14:textId="45C4FF14" w:rsidR="000D5553" w:rsidRPr="000041BA" w:rsidRDefault="000D5553" w:rsidP="003B6635">
            <w:pPr>
              <w:rPr>
                <w:rFonts w:eastAsia="Times New Roman"/>
                <w:color w:val="000000"/>
                <w:sz w:val="22"/>
                <w:szCs w:val="22"/>
              </w:rPr>
            </w:pPr>
            <w:r w:rsidRPr="000041BA">
              <w:rPr>
                <w:rFonts w:eastAsia="Times New Roman"/>
                <w:color w:val="000000"/>
                <w:sz w:val="22"/>
                <w:szCs w:val="22"/>
              </w:rPr>
              <w:t>BATS</w:t>
            </w:r>
          </w:p>
        </w:tc>
        <w:tc>
          <w:tcPr>
            <w:tcW w:w="0" w:type="auto"/>
            <w:tcBorders>
              <w:top w:val="nil"/>
              <w:left w:val="nil"/>
              <w:bottom w:val="nil"/>
              <w:right w:val="nil"/>
            </w:tcBorders>
            <w:shd w:val="clear" w:color="auto" w:fill="auto"/>
            <w:noWrap/>
            <w:vAlign w:val="center"/>
            <w:hideMark/>
          </w:tcPr>
          <w:p w14:paraId="1839CAB9" w14:textId="433166E5"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32°N</w:t>
            </w:r>
          </w:p>
        </w:tc>
        <w:tc>
          <w:tcPr>
            <w:tcW w:w="0" w:type="auto"/>
            <w:tcBorders>
              <w:top w:val="nil"/>
              <w:left w:val="nil"/>
              <w:bottom w:val="nil"/>
              <w:right w:val="nil"/>
            </w:tcBorders>
            <w:shd w:val="clear" w:color="auto" w:fill="auto"/>
            <w:noWrap/>
            <w:vAlign w:val="center"/>
            <w:hideMark/>
          </w:tcPr>
          <w:p w14:paraId="7C22D9D8" w14:textId="4EBE042F"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64°W</w:t>
            </w:r>
          </w:p>
        </w:tc>
        <w:tc>
          <w:tcPr>
            <w:tcW w:w="0" w:type="auto"/>
            <w:tcBorders>
              <w:top w:val="nil"/>
              <w:left w:val="nil"/>
              <w:bottom w:val="nil"/>
              <w:right w:val="nil"/>
            </w:tcBorders>
            <w:shd w:val="clear" w:color="000000" w:fill="E7E6E6"/>
            <w:noWrap/>
            <w:vAlign w:val="center"/>
            <w:hideMark/>
          </w:tcPr>
          <w:p w14:paraId="600C2DFA" w14:textId="7C3BE820"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0.008</w:t>
            </w:r>
          </w:p>
        </w:tc>
        <w:tc>
          <w:tcPr>
            <w:tcW w:w="0" w:type="auto"/>
            <w:tcBorders>
              <w:top w:val="nil"/>
              <w:left w:val="nil"/>
              <w:bottom w:val="nil"/>
              <w:right w:val="nil"/>
            </w:tcBorders>
            <w:shd w:val="clear" w:color="auto" w:fill="auto"/>
            <w:noWrap/>
            <w:vAlign w:val="center"/>
            <w:hideMark/>
          </w:tcPr>
          <w:p w14:paraId="4E4CA90F" w14:textId="73023328"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0.009</w:t>
            </w:r>
          </w:p>
        </w:tc>
        <w:tc>
          <w:tcPr>
            <w:tcW w:w="0" w:type="auto"/>
            <w:tcBorders>
              <w:top w:val="nil"/>
              <w:left w:val="nil"/>
              <w:bottom w:val="nil"/>
              <w:right w:val="nil"/>
            </w:tcBorders>
            <w:shd w:val="clear" w:color="000000" w:fill="E7E6E6"/>
            <w:noWrap/>
            <w:vAlign w:val="center"/>
            <w:hideMark/>
          </w:tcPr>
          <w:p w14:paraId="6DFE8B19" w14:textId="38785942"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0.66</w:t>
            </w:r>
          </w:p>
        </w:tc>
        <w:tc>
          <w:tcPr>
            <w:tcW w:w="0" w:type="auto"/>
            <w:tcBorders>
              <w:top w:val="nil"/>
              <w:left w:val="nil"/>
              <w:bottom w:val="nil"/>
              <w:right w:val="nil"/>
            </w:tcBorders>
            <w:shd w:val="clear" w:color="auto" w:fill="auto"/>
            <w:noWrap/>
            <w:vAlign w:val="center"/>
            <w:hideMark/>
          </w:tcPr>
          <w:p w14:paraId="592B3870" w14:textId="6A5945F7"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0.56</w:t>
            </w:r>
          </w:p>
        </w:tc>
        <w:tc>
          <w:tcPr>
            <w:tcW w:w="0" w:type="auto"/>
            <w:tcBorders>
              <w:top w:val="nil"/>
              <w:left w:val="nil"/>
              <w:bottom w:val="nil"/>
              <w:right w:val="nil"/>
            </w:tcBorders>
            <w:shd w:val="clear" w:color="000000" w:fill="E7E6E6"/>
            <w:noWrap/>
            <w:vAlign w:val="center"/>
            <w:hideMark/>
          </w:tcPr>
          <w:p w14:paraId="6A21125A" w14:textId="49D63D84"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-0.0010</w:t>
            </w:r>
          </w:p>
        </w:tc>
        <w:tc>
          <w:tcPr>
            <w:tcW w:w="0" w:type="auto"/>
            <w:tcBorders>
              <w:top w:val="nil"/>
              <w:left w:val="nil"/>
              <w:bottom w:val="nil"/>
              <w:right w:val="nil"/>
            </w:tcBorders>
            <w:shd w:val="clear" w:color="auto" w:fill="auto"/>
            <w:noWrap/>
            <w:vAlign w:val="center"/>
            <w:hideMark/>
          </w:tcPr>
          <w:p w14:paraId="11C9F598" w14:textId="75CB982C"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-0.0009</w:t>
            </w:r>
          </w:p>
        </w:tc>
        <w:tc>
          <w:tcPr>
            <w:tcW w:w="0" w:type="auto"/>
            <w:tcBorders>
              <w:top w:val="nil"/>
              <w:left w:val="nil"/>
              <w:bottom w:val="nil"/>
              <w:right w:val="nil"/>
            </w:tcBorders>
            <w:shd w:val="clear" w:color="000000" w:fill="E7E6E6"/>
            <w:noWrap/>
            <w:vAlign w:val="center"/>
            <w:hideMark/>
          </w:tcPr>
          <w:p w14:paraId="0BDF751B" w14:textId="0DAC5500"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2</w:t>
            </w:r>
          </w:p>
        </w:tc>
      </w:tr>
      <w:tr w:rsidR="000D5553" w:rsidRPr="000041BA" w14:paraId="3D09C368" w14:textId="77777777" w:rsidTr="000041BA">
        <w:trPr>
          <w:trHeight w:val="20"/>
        </w:trPr>
        <w:tc>
          <w:tcPr>
            <w:tcW w:w="0" w:type="auto"/>
            <w:tcBorders>
              <w:top w:val="nil"/>
              <w:left w:val="nil"/>
              <w:bottom w:val="nil"/>
              <w:right w:val="nil"/>
            </w:tcBorders>
            <w:shd w:val="clear" w:color="auto" w:fill="auto"/>
            <w:noWrap/>
            <w:vAlign w:val="center"/>
            <w:hideMark/>
          </w:tcPr>
          <w:p w14:paraId="0238AF42" w14:textId="317DD397" w:rsidR="000D5553" w:rsidRPr="000041BA" w:rsidRDefault="000D5553" w:rsidP="003B6635">
            <w:pPr>
              <w:rPr>
                <w:rFonts w:eastAsia="Times New Roman"/>
                <w:color w:val="000000"/>
                <w:sz w:val="22"/>
                <w:szCs w:val="22"/>
              </w:rPr>
            </w:pPr>
            <w:r w:rsidRPr="000041BA">
              <w:rPr>
                <w:rFonts w:eastAsia="Times New Roman"/>
                <w:color w:val="000000"/>
                <w:sz w:val="22"/>
                <w:szCs w:val="22"/>
              </w:rPr>
              <w:t>ESTOC</w:t>
            </w:r>
          </w:p>
        </w:tc>
        <w:tc>
          <w:tcPr>
            <w:tcW w:w="0" w:type="auto"/>
            <w:tcBorders>
              <w:top w:val="nil"/>
              <w:left w:val="nil"/>
              <w:bottom w:val="nil"/>
              <w:right w:val="nil"/>
            </w:tcBorders>
            <w:shd w:val="clear" w:color="auto" w:fill="auto"/>
            <w:noWrap/>
            <w:vAlign w:val="center"/>
            <w:hideMark/>
          </w:tcPr>
          <w:p w14:paraId="53A8243B" w14:textId="684E201E"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29.04°N</w:t>
            </w:r>
          </w:p>
        </w:tc>
        <w:tc>
          <w:tcPr>
            <w:tcW w:w="0" w:type="auto"/>
            <w:tcBorders>
              <w:top w:val="nil"/>
              <w:left w:val="nil"/>
              <w:bottom w:val="nil"/>
              <w:right w:val="nil"/>
            </w:tcBorders>
            <w:shd w:val="clear" w:color="auto" w:fill="auto"/>
            <w:noWrap/>
            <w:vAlign w:val="center"/>
            <w:hideMark/>
          </w:tcPr>
          <w:p w14:paraId="7482E08C" w14:textId="7C065C92"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15.5°W</w:t>
            </w:r>
          </w:p>
        </w:tc>
        <w:tc>
          <w:tcPr>
            <w:tcW w:w="0" w:type="auto"/>
            <w:tcBorders>
              <w:top w:val="nil"/>
              <w:left w:val="nil"/>
              <w:bottom w:val="nil"/>
              <w:right w:val="nil"/>
            </w:tcBorders>
            <w:shd w:val="clear" w:color="000000" w:fill="E7E6E6"/>
            <w:noWrap/>
            <w:vAlign w:val="center"/>
            <w:hideMark/>
          </w:tcPr>
          <w:p w14:paraId="5BED4807" w14:textId="5B3D3367"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0.010</w:t>
            </w:r>
          </w:p>
        </w:tc>
        <w:tc>
          <w:tcPr>
            <w:tcW w:w="0" w:type="auto"/>
            <w:tcBorders>
              <w:top w:val="nil"/>
              <w:left w:val="nil"/>
              <w:bottom w:val="nil"/>
              <w:right w:val="nil"/>
            </w:tcBorders>
            <w:shd w:val="clear" w:color="auto" w:fill="auto"/>
            <w:noWrap/>
            <w:vAlign w:val="center"/>
            <w:hideMark/>
          </w:tcPr>
          <w:p w14:paraId="38F12769" w14:textId="0A28B4A3"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0.010</w:t>
            </w:r>
          </w:p>
        </w:tc>
        <w:tc>
          <w:tcPr>
            <w:tcW w:w="0" w:type="auto"/>
            <w:tcBorders>
              <w:top w:val="nil"/>
              <w:left w:val="nil"/>
              <w:bottom w:val="nil"/>
              <w:right w:val="nil"/>
            </w:tcBorders>
            <w:shd w:val="clear" w:color="000000" w:fill="E7E6E6"/>
            <w:noWrap/>
            <w:vAlign w:val="center"/>
            <w:hideMark/>
          </w:tcPr>
          <w:p w14:paraId="1681AC15" w14:textId="4ED299BD"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0.56</w:t>
            </w:r>
          </w:p>
        </w:tc>
        <w:tc>
          <w:tcPr>
            <w:tcW w:w="0" w:type="auto"/>
            <w:tcBorders>
              <w:top w:val="nil"/>
              <w:left w:val="nil"/>
              <w:bottom w:val="nil"/>
              <w:right w:val="nil"/>
            </w:tcBorders>
            <w:shd w:val="clear" w:color="auto" w:fill="auto"/>
            <w:noWrap/>
            <w:vAlign w:val="center"/>
            <w:hideMark/>
          </w:tcPr>
          <w:p w14:paraId="07B3594E" w14:textId="1A0347A6"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0.54</w:t>
            </w:r>
          </w:p>
        </w:tc>
        <w:tc>
          <w:tcPr>
            <w:tcW w:w="0" w:type="auto"/>
            <w:tcBorders>
              <w:top w:val="nil"/>
              <w:left w:val="nil"/>
              <w:bottom w:val="nil"/>
              <w:right w:val="nil"/>
            </w:tcBorders>
            <w:shd w:val="clear" w:color="000000" w:fill="E7E6E6"/>
            <w:noWrap/>
            <w:vAlign w:val="center"/>
            <w:hideMark/>
          </w:tcPr>
          <w:p w14:paraId="0675B73E" w14:textId="6097B10B"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-0.0009</w:t>
            </w:r>
          </w:p>
        </w:tc>
        <w:tc>
          <w:tcPr>
            <w:tcW w:w="0" w:type="auto"/>
            <w:tcBorders>
              <w:top w:val="nil"/>
              <w:left w:val="nil"/>
              <w:bottom w:val="nil"/>
              <w:right w:val="nil"/>
            </w:tcBorders>
            <w:shd w:val="clear" w:color="auto" w:fill="auto"/>
            <w:noWrap/>
            <w:vAlign w:val="center"/>
            <w:hideMark/>
          </w:tcPr>
          <w:p w14:paraId="6D0377F3" w14:textId="7AEBBDA2"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-0.0009</w:t>
            </w:r>
          </w:p>
        </w:tc>
        <w:tc>
          <w:tcPr>
            <w:tcW w:w="0" w:type="auto"/>
            <w:tcBorders>
              <w:top w:val="nil"/>
              <w:left w:val="nil"/>
              <w:bottom w:val="nil"/>
              <w:right w:val="nil"/>
            </w:tcBorders>
            <w:shd w:val="clear" w:color="000000" w:fill="E7E6E6"/>
            <w:noWrap/>
            <w:vAlign w:val="center"/>
            <w:hideMark/>
          </w:tcPr>
          <w:p w14:paraId="391D887C" w14:textId="102BC1C4"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2</w:t>
            </w:r>
          </w:p>
        </w:tc>
      </w:tr>
      <w:tr w:rsidR="000D5553" w:rsidRPr="000041BA" w14:paraId="68805E8F" w14:textId="77777777" w:rsidTr="000041BA">
        <w:trPr>
          <w:trHeight w:val="20"/>
        </w:trPr>
        <w:tc>
          <w:tcPr>
            <w:tcW w:w="0" w:type="auto"/>
            <w:tcBorders>
              <w:top w:val="nil"/>
              <w:left w:val="nil"/>
              <w:bottom w:val="nil"/>
              <w:right w:val="nil"/>
            </w:tcBorders>
            <w:shd w:val="clear" w:color="auto" w:fill="auto"/>
            <w:noWrap/>
            <w:vAlign w:val="center"/>
            <w:hideMark/>
          </w:tcPr>
          <w:p w14:paraId="3A9A35C3" w14:textId="373514E9" w:rsidR="000D5553" w:rsidRPr="000041BA" w:rsidRDefault="000D5553" w:rsidP="003B6635">
            <w:pPr>
              <w:rPr>
                <w:rFonts w:eastAsia="Times New Roman"/>
                <w:color w:val="000000"/>
                <w:sz w:val="22"/>
                <w:szCs w:val="22"/>
              </w:rPr>
            </w:pPr>
            <w:r w:rsidRPr="000041BA">
              <w:rPr>
                <w:rFonts w:eastAsia="Times New Roman"/>
                <w:color w:val="000000"/>
                <w:sz w:val="22"/>
                <w:szCs w:val="22"/>
              </w:rPr>
              <w:t>HOT</w:t>
            </w:r>
          </w:p>
        </w:tc>
        <w:tc>
          <w:tcPr>
            <w:tcW w:w="0" w:type="auto"/>
            <w:tcBorders>
              <w:top w:val="nil"/>
              <w:left w:val="nil"/>
              <w:bottom w:val="nil"/>
              <w:right w:val="nil"/>
            </w:tcBorders>
            <w:shd w:val="clear" w:color="auto" w:fill="auto"/>
            <w:noWrap/>
            <w:vAlign w:val="center"/>
            <w:hideMark/>
          </w:tcPr>
          <w:p w14:paraId="490D5088" w14:textId="043F2E89"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22.75°N</w:t>
            </w:r>
          </w:p>
        </w:tc>
        <w:tc>
          <w:tcPr>
            <w:tcW w:w="0" w:type="auto"/>
            <w:tcBorders>
              <w:top w:val="nil"/>
              <w:left w:val="nil"/>
              <w:bottom w:val="nil"/>
              <w:right w:val="nil"/>
            </w:tcBorders>
            <w:shd w:val="clear" w:color="auto" w:fill="auto"/>
            <w:noWrap/>
            <w:vAlign w:val="center"/>
            <w:hideMark/>
          </w:tcPr>
          <w:p w14:paraId="1ED75151" w14:textId="33DD3424"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158°W</w:t>
            </w:r>
          </w:p>
        </w:tc>
        <w:tc>
          <w:tcPr>
            <w:tcW w:w="0" w:type="auto"/>
            <w:tcBorders>
              <w:top w:val="nil"/>
              <w:left w:val="nil"/>
              <w:bottom w:val="nil"/>
              <w:right w:val="nil"/>
            </w:tcBorders>
            <w:shd w:val="clear" w:color="000000" w:fill="E7E6E6"/>
            <w:noWrap/>
            <w:vAlign w:val="center"/>
            <w:hideMark/>
          </w:tcPr>
          <w:p w14:paraId="45575715" w14:textId="7B5294D0"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0.008</w:t>
            </w:r>
          </w:p>
        </w:tc>
        <w:tc>
          <w:tcPr>
            <w:tcW w:w="0" w:type="auto"/>
            <w:tcBorders>
              <w:top w:val="nil"/>
              <w:left w:val="nil"/>
              <w:bottom w:val="nil"/>
              <w:right w:val="nil"/>
            </w:tcBorders>
            <w:shd w:val="clear" w:color="auto" w:fill="auto"/>
            <w:noWrap/>
            <w:vAlign w:val="center"/>
            <w:hideMark/>
          </w:tcPr>
          <w:p w14:paraId="42B4A57C" w14:textId="40AEF892"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0.009</w:t>
            </w:r>
          </w:p>
        </w:tc>
        <w:tc>
          <w:tcPr>
            <w:tcW w:w="0" w:type="auto"/>
            <w:tcBorders>
              <w:top w:val="nil"/>
              <w:left w:val="nil"/>
              <w:bottom w:val="nil"/>
              <w:right w:val="nil"/>
            </w:tcBorders>
            <w:shd w:val="clear" w:color="000000" w:fill="E7E6E6"/>
            <w:noWrap/>
            <w:vAlign w:val="center"/>
            <w:hideMark/>
          </w:tcPr>
          <w:p w14:paraId="273D4C42" w14:textId="1B40062A"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0.61</w:t>
            </w:r>
          </w:p>
        </w:tc>
        <w:tc>
          <w:tcPr>
            <w:tcW w:w="0" w:type="auto"/>
            <w:tcBorders>
              <w:top w:val="nil"/>
              <w:left w:val="nil"/>
              <w:bottom w:val="nil"/>
              <w:right w:val="nil"/>
            </w:tcBorders>
            <w:shd w:val="clear" w:color="auto" w:fill="auto"/>
            <w:noWrap/>
            <w:vAlign w:val="center"/>
            <w:hideMark/>
          </w:tcPr>
          <w:p w14:paraId="75A33B04" w14:textId="69B4B497"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0.54</w:t>
            </w:r>
          </w:p>
        </w:tc>
        <w:tc>
          <w:tcPr>
            <w:tcW w:w="0" w:type="auto"/>
            <w:tcBorders>
              <w:top w:val="nil"/>
              <w:left w:val="nil"/>
              <w:bottom w:val="nil"/>
              <w:right w:val="nil"/>
            </w:tcBorders>
            <w:shd w:val="clear" w:color="000000" w:fill="E7E6E6"/>
            <w:noWrap/>
            <w:vAlign w:val="center"/>
            <w:hideMark/>
          </w:tcPr>
          <w:p w14:paraId="121C0DC1" w14:textId="74589CDF"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-0.0009</w:t>
            </w:r>
          </w:p>
        </w:tc>
        <w:tc>
          <w:tcPr>
            <w:tcW w:w="0" w:type="auto"/>
            <w:tcBorders>
              <w:top w:val="nil"/>
              <w:left w:val="nil"/>
              <w:bottom w:val="nil"/>
              <w:right w:val="nil"/>
            </w:tcBorders>
            <w:shd w:val="clear" w:color="auto" w:fill="auto"/>
            <w:noWrap/>
            <w:vAlign w:val="center"/>
            <w:hideMark/>
          </w:tcPr>
          <w:p w14:paraId="59485DFC" w14:textId="06CEF386"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-0.0009</w:t>
            </w:r>
          </w:p>
        </w:tc>
        <w:tc>
          <w:tcPr>
            <w:tcW w:w="0" w:type="auto"/>
            <w:tcBorders>
              <w:top w:val="nil"/>
              <w:left w:val="nil"/>
              <w:bottom w:val="nil"/>
              <w:right w:val="nil"/>
            </w:tcBorders>
            <w:shd w:val="clear" w:color="000000" w:fill="E7E6E6"/>
            <w:noWrap/>
            <w:vAlign w:val="center"/>
            <w:hideMark/>
          </w:tcPr>
          <w:p w14:paraId="484A6137" w14:textId="4549C3C7"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2</w:t>
            </w:r>
          </w:p>
        </w:tc>
      </w:tr>
      <w:tr w:rsidR="000D5553" w:rsidRPr="000041BA" w14:paraId="698D56F2" w14:textId="77777777" w:rsidTr="000041BA">
        <w:trPr>
          <w:trHeight w:val="20"/>
        </w:trPr>
        <w:tc>
          <w:tcPr>
            <w:tcW w:w="0" w:type="auto"/>
            <w:tcBorders>
              <w:top w:val="nil"/>
              <w:left w:val="nil"/>
              <w:bottom w:val="nil"/>
              <w:right w:val="nil"/>
            </w:tcBorders>
            <w:shd w:val="clear" w:color="auto" w:fill="auto"/>
            <w:noWrap/>
            <w:vAlign w:val="center"/>
            <w:hideMark/>
          </w:tcPr>
          <w:p w14:paraId="1FB87D27" w14:textId="2751E8A8" w:rsidR="000D5553" w:rsidRPr="000041BA" w:rsidRDefault="000D5553" w:rsidP="003B6635">
            <w:pPr>
              <w:rPr>
                <w:rFonts w:eastAsia="Times New Roman"/>
                <w:color w:val="000000"/>
                <w:sz w:val="22"/>
                <w:szCs w:val="22"/>
              </w:rPr>
            </w:pPr>
            <w:r w:rsidRPr="000041BA">
              <w:rPr>
                <w:rFonts w:eastAsia="Times New Roman"/>
                <w:color w:val="000000"/>
                <w:sz w:val="22"/>
                <w:szCs w:val="22"/>
              </w:rPr>
              <w:t>CARIACO</w:t>
            </w:r>
          </w:p>
        </w:tc>
        <w:tc>
          <w:tcPr>
            <w:tcW w:w="0" w:type="auto"/>
            <w:tcBorders>
              <w:top w:val="nil"/>
              <w:left w:val="nil"/>
              <w:bottom w:val="nil"/>
              <w:right w:val="nil"/>
            </w:tcBorders>
            <w:shd w:val="clear" w:color="auto" w:fill="auto"/>
            <w:noWrap/>
            <w:vAlign w:val="center"/>
            <w:hideMark/>
          </w:tcPr>
          <w:p w14:paraId="03A5F58C" w14:textId="0899DF4E"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10.5°N</w:t>
            </w:r>
          </w:p>
        </w:tc>
        <w:tc>
          <w:tcPr>
            <w:tcW w:w="0" w:type="auto"/>
            <w:tcBorders>
              <w:top w:val="nil"/>
              <w:left w:val="nil"/>
              <w:bottom w:val="nil"/>
              <w:right w:val="nil"/>
            </w:tcBorders>
            <w:shd w:val="clear" w:color="auto" w:fill="auto"/>
            <w:noWrap/>
            <w:vAlign w:val="center"/>
            <w:hideMark/>
          </w:tcPr>
          <w:p w14:paraId="10C9AE11" w14:textId="4D74E800"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64.67°W</w:t>
            </w:r>
          </w:p>
        </w:tc>
        <w:tc>
          <w:tcPr>
            <w:tcW w:w="0" w:type="auto"/>
            <w:tcBorders>
              <w:top w:val="nil"/>
              <w:left w:val="nil"/>
              <w:bottom w:val="nil"/>
              <w:right w:val="nil"/>
            </w:tcBorders>
            <w:shd w:val="clear" w:color="000000" w:fill="E7E6E6"/>
            <w:noWrap/>
            <w:vAlign w:val="center"/>
            <w:hideMark/>
          </w:tcPr>
          <w:p w14:paraId="24276A1D" w14:textId="10DD92BC"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0.004</w:t>
            </w:r>
          </w:p>
        </w:tc>
        <w:tc>
          <w:tcPr>
            <w:tcW w:w="0" w:type="auto"/>
            <w:tcBorders>
              <w:top w:val="nil"/>
              <w:left w:val="nil"/>
              <w:bottom w:val="nil"/>
              <w:right w:val="nil"/>
            </w:tcBorders>
            <w:shd w:val="clear" w:color="auto" w:fill="auto"/>
            <w:noWrap/>
            <w:vAlign w:val="center"/>
            <w:hideMark/>
          </w:tcPr>
          <w:p w14:paraId="171EAD42" w14:textId="4CD06C3A"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0.008</w:t>
            </w:r>
          </w:p>
        </w:tc>
        <w:tc>
          <w:tcPr>
            <w:tcW w:w="0" w:type="auto"/>
            <w:tcBorders>
              <w:top w:val="nil"/>
              <w:left w:val="nil"/>
              <w:bottom w:val="nil"/>
              <w:right w:val="nil"/>
            </w:tcBorders>
            <w:shd w:val="clear" w:color="000000" w:fill="E7E6E6"/>
            <w:noWrap/>
            <w:vAlign w:val="center"/>
            <w:hideMark/>
          </w:tcPr>
          <w:p w14:paraId="0EE984D6" w14:textId="6A32AF8B"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0.64</w:t>
            </w:r>
          </w:p>
        </w:tc>
        <w:tc>
          <w:tcPr>
            <w:tcW w:w="0" w:type="auto"/>
            <w:tcBorders>
              <w:top w:val="nil"/>
              <w:left w:val="nil"/>
              <w:bottom w:val="nil"/>
              <w:right w:val="nil"/>
            </w:tcBorders>
            <w:shd w:val="clear" w:color="auto" w:fill="auto"/>
            <w:noWrap/>
            <w:vAlign w:val="center"/>
            <w:hideMark/>
          </w:tcPr>
          <w:p w14:paraId="2F99C0A3" w14:textId="587DDFFE"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0.57</w:t>
            </w:r>
          </w:p>
        </w:tc>
        <w:tc>
          <w:tcPr>
            <w:tcW w:w="0" w:type="auto"/>
            <w:tcBorders>
              <w:top w:val="nil"/>
              <w:left w:val="nil"/>
              <w:bottom w:val="nil"/>
              <w:right w:val="nil"/>
            </w:tcBorders>
            <w:shd w:val="clear" w:color="000000" w:fill="E7E6E6"/>
            <w:noWrap/>
            <w:vAlign w:val="center"/>
            <w:hideMark/>
          </w:tcPr>
          <w:p w14:paraId="387FFE37" w14:textId="57C5A08C"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-0.0008</w:t>
            </w:r>
          </w:p>
        </w:tc>
        <w:tc>
          <w:tcPr>
            <w:tcW w:w="0" w:type="auto"/>
            <w:tcBorders>
              <w:top w:val="nil"/>
              <w:left w:val="nil"/>
              <w:bottom w:val="nil"/>
              <w:right w:val="nil"/>
            </w:tcBorders>
            <w:shd w:val="clear" w:color="auto" w:fill="auto"/>
            <w:noWrap/>
            <w:vAlign w:val="center"/>
            <w:hideMark/>
          </w:tcPr>
          <w:p w14:paraId="21484505" w14:textId="2E5F3B40"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-0.0009</w:t>
            </w:r>
          </w:p>
        </w:tc>
        <w:tc>
          <w:tcPr>
            <w:tcW w:w="0" w:type="auto"/>
            <w:tcBorders>
              <w:top w:val="nil"/>
              <w:left w:val="nil"/>
              <w:bottom w:val="nil"/>
              <w:right w:val="nil"/>
            </w:tcBorders>
            <w:shd w:val="clear" w:color="000000" w:fill="E7E6E6"/>
            <w:noWrap/>
            <w:vAlign w:val="center"/>
            <w:hideMark/>
          </w:tcPr>
          <w:p w14:paraId="6C8C9DC4" w14:textId="02437030"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2</w:t>
            </w:r>
          </w:p>
        </w:tc>
      </w:tr>
      <w:tr w:rsidR="000D5553" w:rsidRPr="000041BA" w14:paraId="6AEE3CEF" w14:textId="77777777" w:rsidTr="000041BA">
        <w:trPr>
          <w:trHeight w:val="20"/>
        </w:trPr>
        <w:tc>
          <w:tcPr>
            <w:tcW w:w="0" w:type="auto"/>
            <w:tcBorders>
              <w:top w:val="nil"/>
              <w:left w:val="nil"/>
              <w:bottom w:val="nil"/>
              <w:right w:val="nil"/>
            </w:tcBorders>
            <w:shd w:val="clear" w:color="auto" w:fill="auto"/>
            <w:noWrap/>
            <w:vAlign w:val="center"/>
            <w:hideMark/>
          </w:tcPr>
          <w:p w14:paraId="6E4D6DBC" w14:textId="066320FF" w:rsidR="000D5553" w:rsidRPr="000041BA" w:rsidRDefault="000D5553" w:rsidP="003B6635">
            <w:pPr>
              <w:rPr>
                <w:rFonts w:eastAsia="Times New Roman"/>
                <w:color w:val="000000"/>
                <w:sz w:val="22"/>
                <w:szCs w:val="22"/>
              </w:rPr>
            </w:pPr>
            <w:r w:rsidRPr="000041BA">
              <w:rPr>
                <w:rFonts w:eastAsia="Times New Roman"/>
                <w:color w:val="000000"/>
                <w:sz w:val="22"/>
                <w:szCs w:val="22"/>
              </w:rPr>
              <w:t>Munida</w:t>
            </w:r>
          </w:p>
        </w:tc>
        <w:tc>
          <w:tcPr>
            <w:tcW w:w="0" w:type="auto"/>
            <w:tcBorders>
              <w:top w:val="nil"/>
              <w:left w:val="nil"/>
              <w:bottom w:val="nil"/>
              <w:right w:val="nil"/>
            </w:tcBorders>
            <w:shd w:val="clear" w:color="auto" w:fill="auto"/>
            <w:noWrap/>
            <w:vAlign w:val="center"/>
            <w:hideMark/>
          </w:tcPr>
          <w:p w14:paraId="2B77ADC0" w14:textId="1CF71543"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45.7°S</w:t>
            </w:r>
          </w:p>
        </w:tc>
        <w:tc>
          <w:tcPr>
            <w:tcW w:w="0" w:type="auto"/>
            <w:tcBorders>
              <w:top w:val="nil"/>
              <w:left w:val="nil"/>
              <w:bottom w:val="nil"/>
              <w:right w:val="nil"/>
            </w:tcBorders>
            <w:shd w:val="clear" w:color="auto" w:fill="auto"/>
            <w:noWrap/>
            <w:vAlign w:val="center"/>
            <w:hideMark/>
          </w:tcPr>
          <w:p w14:paraId="29515A52" w14:textId="28E8A7FA"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171.5°E</w:t>
            </w:r>
          </w:p>
        </w:tc>
        <w:tc>
          <w:tcPr>
            <w:tcW w:w="0" w:type="auto"/>
            <w:tcBorders>
              <w:top w:val="nil"/>
              <w:left w:val="nil"/>
              <w:bottom w:val="nil"/>
              <w:right w:val="nil"/>
            </w:tcBorders>
            <w:shd w:val="clear" w:color="000000" w:fill="E7E6E6"/>
            <w:noWrap/>
            <w:vAlign w:val="center"/>
            <w:hideMark/>
          </w:tcPr>
          <w:p w14:paraId="3102BEC7" w14:textId="69D9D266"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0.022</w:t>
            </w:r>
          </w:p>
        </w:tc>
        <w:tc>
          <w:tcPr>
            <w:tcW w:w="0" w:type="auto"/>
            <w:tcBorders>
              <w:top w:val="nil"/>
              <w:left w:val="nil"/>
              <w:bottom w:val="nil"/>
              <w:right w:val="nil"/>
            </w:tcBorders>
            <w:shd w:val="clear" w:color="auto" w:fill="auto"/>
            <w:noWrap/>
            <w:vAlign w:val="center"/>
            <w:hideMark/>
          </w:tcPr>
          <w:p w14:paraId="515D9A9B" w14:textId="3FEA37A2"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0.015</w:t>
            </w:r>
          </w:p>
        </w:tc>
        <w:tc>
          <w:tcPr>
            <w:tcW w:w="0" w:type="auto"/>
            <w:tcBorders>
              <w:top w:val="nil"/>
              <w:left w:val="nil"/>
              <w:bottom w:val="nil"/>
              <w:right w:val="nil"/>
            </w:tcBorders>
            <w:shd w:val="clear" w:color="000000" w:fill="E7E6E6"/>
            <w:noWrap/>
            <w:vAlign w:val="center"/>
            <w:hideMark/>
          </w:tcPr>
          <w:p w14:paraId="0F00FCA3" w14:textId="1AFE5CD5"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0.61</w:t>
            </w:r>
          </w:p>
        </w:tc>
        <w:tc>
          <w:tcPr>
            <w:tcW w:w="0" w:type="auto"/>
            <w:tcBorders>
              <w:top w:val="nil"/>
              <w:left w:val="nil"/>
              <w:bottom w:val="nil"/>
              <w:right w:val="nil"/>
            </w:tcBorders>
            <w:shd w:val="clear" w:color="auto" w:fill="auto"/>
            <w:noWrap/>
            <w:vAlign w:val="center"/>
            <w:hideMark/>
          </w:tcPr>
          <w:p w14:paraId="33E8A1E7" w14:textId="3A4B1BCA"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0.50</w:t>
            </w:r>
          </w:p>
        </w:tc>
        <w:tc>
          <w:tcPr>
            <w:tcW w:w="0" w:type="auto"/>
            <w:tcBorders>
              <w:top w:val="nil"/>
              <w:left w:val="nil"/>
              <w:bottom w:val="nil"/>
              <w:right w:val="nil"/>
            </w:tcBorders>
            <w:shd w:val="clear" w:color="000000" w:fill="E7E6E6"/>
            <w:noWrap/>
            <w:vAlign w:val="center"/>
            <w:hideMark/>
          </w:tcPr>
          <w:p w14:paraId="7E97E698" w14:textId="3E1868AE"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-0.0010</w:t>
            </w:r>
          </w:p>
        </w:tc>
        <w:tc>
          <w:tcPr>
            <w:tcW w:w="0" w:type="auto"/>
            <w:tcBorders>
              <w:top w:val="nil"/>
              <w:left w:val="nil"/>
              <w:bottom w:val="nil"/>
              <w:right w:val="nil"/>
            </w:tcBorders>
            <w:shd w:val="clear" w:color="auto" w:fill="auto"/>
            <w:noWrap/>
            <w:vAlign w:val="center"/>
            <w:hideMark/>
          </w:tcPr>
          <w:p w14:paraId="24764098" w14:textId="1CF0C9CB"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-0.0011</w:t>
            </w:r>
          </w:p>
        </w:tc>
        <w:tc>
          <w:tcPr>
            <w:tcW w:w="0" w:type="auto"/>
            <w:tcBorders>
              <w:top w:val="nil"/>
              <w:left w:val="nil"/>
              <w:bottom w:val="nil"/>
              <w:right w:val="nil"/>
            </w:tcBorders>
            <w:shd w:val="clear" w:color="000000" w:fill="E7E6E6"/>
            <w:noWrap/>
            <w:vAlign w:val="center"/>
            <w:hideMark/>
          </w:tcPr>
          <w:p w14:paraId="6798C5EF" w14:textId="587B45F5"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2</w:t>
            </w:r>
          </w:p>
        </w:tc>
      </w:tr>
      <w:tr w:rsidR="000D5553" w:rsidRPr="000041BA" w14:paraId="33A94DAF" w14:textId="77777777" w:rsidTr="000041BA">
        <w:trPr>
          <w:trHeight w:val="20"/>
        </w:trPr>
        <w:tc>
          <w:tcPr>
            <w:tcW w:w="0" w:type="auto"/>
            <w:tcBorders>
              <w:top w:val="nil"/>
              <w:left w:val="nil"/>
              <w:bottom w:val="nil"/>
              <w:right w:val="nil"/>
            </w:tcBorders>
            <w:shd w:val="clear" w:color="auto" w:fill="auto"/>
            <w:noWrap/>
            <w:vAlign w:val="center"/>
            <w:hideMark/>
          </w:tcPr>
          <w:p w14:paraId="50A4983B" w14:textId="519E3B38" w:rsidR="000D5553" w:rsidRPr="000041BA" w:rsidRDefault="000D5553" w:rsidP="003B6635">
            <w:pPr>
              <w:rPr>
                <w:rFonts w:eastAsia="Times New Roman"/>
                <w:color w:val="000000"/>
                <w:sz w:val="22"/>
                <w:szCs w:val="22"/>
              </w:rPr>
            </w:pPr>
            <w:r w:rsidRPr="000041BA">
              <w:rPr>
                <w:rFonts w:eastAsia="Times New Roman"/>
                <w:color w:val="000000"/>
                <w:sz w:val="22"/>
                <w:szCs w:val="22"/>
              </w:rPr>
              <w:t>SO Region 1</w:t>
            </w:r>
          </w:p>
        </w:tc>
        <w:tc>
          <w:tcPr>
            <w:tcW w:w="0" w:type="auto"/>
            <w:tcBorders>
              <w:top w:val="nil"/>
              <w:left w:val="nil"/>
              <w:bottom w:val="nil"/>
              <w:right w:val="nil"/>
            </w:tcBorders>
            <w:shd w:val="clear" w:color="auto" w:fill="auto"/>
            <w:noWrap/>
            <w:vAlign w:val="center"/>
            <w:hideMark/>
          </w:tcPr>
          <w:p w14:paraId="5570EF91" w14:textId="07CD1317" w:rsidR="000D5553" w:rsidRPr="000041BA" w:rsidRDefault="000D5553" w:rsidP="003B6635">
            <w:pPr>
              <w:jc w:val="center"/>
              <w:rPr>
                <w:rFonts w:eastAsia="Times New Roman"/>
                <w:color w:val="000000"/>
                <w:sz w:val="22"/>
                <w:szCs w:val="22"/>
              </w:rPr>
            </w:pPr>
            <w:r w:rsidRPr="000041BA">
              <w:rPr>
                <w:rFonts w:ascii="Tmes new" w:eastAsia="Times New Roman" w:hAnsi="Tmes new"/>
                <w:color w:val="000000"/>
                <w:sz w:val="22"/>
                <w:szCs w:val="22"/>
              </w:rPr>
              <w:t>57°S</w:t>
            </w:r>
          </w:p>
        </w:tc>
        <w:tc>
          <w:tcPr>
            <w:tcW w:w="0" w:type="auto"/>
            <w:tcBorders>
              <w:top w:val="nil"/>
              <w:left w:val="nil"/>
              <w:bottom w:val="nil"/>
              <w:right w:val="nil"/>
            </w:tcBorders>
            <w:shd w:val="clear" w:color="auto" w:fill="auto"/>
            <w:noWrap/>
            <w:vAlign w:val="center"/>
            <w:hideMark/>
          </w:tcPr>
          <w:p w14:paraId="68A3693C" w14:textId="0AB84BDD" w:rsidR="000D5553" w:rsidRPr="000041BA" w:rsidRDefault="000D5553" w:rsidP="003B6635">
            <w:pPr>
              <w:jc w:val="center"/>
              <w:rPr>
                <w:rFonts w:eastAsia="Times New Roman"/>
                <w:color w:val="000000"/>
                <w:sz w:val="22"/>
                <w:szCs w:val="22"/>
              </w:rPr>
            </w:pPr>
            <w:r w:rsidRPr="000041BA">
              <w:rPr>
                <w:rFonts w:ascii="Tmes new" w:eastAsia="Times New Roman" w:hAnsi="Tmes new"/>
                <w:color w:val="000000"/>
                <w:sz w:val="22"/>
                <w:szCs w:val="22"/>
              </w:rPr>
              <w:t>64°W</w:t>
            </w:r>
          </w:p>
        </w:tc>
        <w:tc>
          <w:tcPr>
            <w:tcW w:w="0" w:type="auto"/>
            <w:tcBorders>
              <w:top w:val="nil"/>
              <w:left w:val="nil"/>
              <w:bottom w:val="nil"/>
              <w:right w:val="nil"/>
            </w:tcBorders>
            <w:shd w:val="clear" w:color="000000" w:fill="E7E6E6"/>
            <w:noWrap/>
            <w:vAlign w:val="center"/>
            <w:hideMark/>
          </w:tcPr>
          <w:p w14:paraId="600921A6" w14:textId="3714D871"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 </w:t>
            </w:r>
          </w:p>
        </w:tc>
        <w:tc>
          <w:tcPr>
            <w:tcW w:w="0" w:type="auto"/>
            <w:tcBorders>
              <w:top w:val="nil"/>
              <w:left w:val="nil"/>
              <w:bottom w:val="nil"/>
              <w:right w:val="nil"/>
            </w:tcBorders>
            <w:shd w:val="clear" w:color="auto" w:fill="auto"/>
            <w:noWrap/>
            <w:vAlign w:val="center"/>
            <w:hideMark/>
          </w:tcPr>
          <w:p w14:paraId="595CCB00" w14:textId="00522622" w:rsidR="000D5553" w:rsidRPr="000041BA" w:rsidRDefault="000D5553" w:rsidP="00D652A5">
            <w:pPr>
              <w:jc w:val="center"/>
              <w:rPr>
                <w:rFonts w:eastAsia="Times New Roman"/>
                <w:color w:val="000000"/>
                <w:sz w:val="22"/>
                <w:szCs w:val="22"/>
              </w:rPr>
            </w:pPr>
            <w:r w:rsidRPr="000041BA">
              <w:rPr>
                <w:rFonts w:eastAsia="Times New Roman"/>
                <w:color w:val="000000"/>
                <w:sz w:val="22"/>
                <w:szCs w:val="22"/>
              </w:rPr>
              <w:t>0.</w:t>
            </w:r>
            <w:r w:rsidR="00D652A5" w:rsidRPr="000041BA">
              <w:rPr>
                <w:rFonts w:eastAsia="Times New Roman"/>
                <w:color w:val="000000"/>
                <w:sz w:val="22"/>
                <w:szCs w:val="22"/>
              </w:rPr>
              <w:t>01</w:t>
            </w:r>
            <w:r w:rsidR="00D652A5">
              <w:rPr>
                <w:rFonts w:eastAsia="Times New Roman"/>
                <w:color w:val="000000"/>
                <w:sz w:val="22"/>
                <w:szCs w:val="22"/>
              </w:rPr>
              <w:t>7</w:t>
            </w:r>
          </w:p>
        </w:tc>
        <w:tc>
          <w:tcPr>
            <w:tcW w:w="0" w:type="auto"/>
            <w:tcBorders>
              <w:top w:val="nil"/>
              <w:left w:val="nil"/>
              <w:bottom w:val="nil"/>
              <w:right w:val="nil"/>
            </w:tcBorders>
            <w:shd w:val="clear" w:color="000000" w:fill="E7E6E6"/>
            <w:noWrap/>
            <w:vAlign w:val="center"/>
            <w:hideMark/>
          </w:tcPr>
          <w:p w14:paraId="57E495D7" w14:textId="23AC98FA" w:rsidR="000D5553" w:rsidRPr="000041BA" w:rsidRDefault="000D5553" w:rsidP="004F7F5E">
            <w:pPr>
              <w:jc w:val="center"/>
              <w:rPr>
                <w:rFonts w:eastAsia="Times New Roman"/>
                <w:color w:val="000000"/>
                <w:sz w:val="22"/>
                <w:szCs w:val="22"/>
              </w:rPr>
            </w:pPr>
            <w:r w:rsidRPr="000041BA">
              <w:rPr>
                <w:rFonts w:eastAsia="Times New Roman"/>
                <w:color w:val="000000"/>
                <w:sz w:val="22"/>
                <w:szCs w:val="22"/>
              </w:rPr>
              <w:t>0.</w:t>
            </w:r>
            <w:r w:rsidR="004F7F5E" w:rsidRPr="000041BA">
              <w:rPr>
                <w:rFonts w:eastAsia="Times New Roman"/>
                <w:color w:val="000000"/>
                <w:sz w:val="22"/>
                <w:szCs w:val="22"/>
              </w:rPr>
              <w:t>3</w:t>
            </w:r>
            <w:r w:rsidR="004F7F5E">
              <w:rPr>
                <w:rFonts w:eastAsia="Times New Roman"/>
                <w:color w:val="000000"/>
                <w:sz w:val="22"/>
                <w:szCs w:val="22"/>
              </w:rPr>
              <w:t>3</w:t>
            </w:r>
          </w:p>
        </w:tc>
        <w:tc>
          <w:tcPr>
            <w:tcW w:w="0" w:type="auto"/>
            <w:tcBorders>
              <w:top w:val="nil"/>
              <w:left w:val="nil"/>
              <w:bottom w:val="nil"/>
              <w:right w:val="nil"/>
            </w:tcBorders>
            <w:shd w:val="clear" w:color="auto" w:fill="auto"/>
            <w:noWrap/>
            <w:vAlign w:val="center"/>
            <w:hideMark/>
          </w:tcPr>
          <w:p w14:paraId="775546F3" w14:textId="6A8D854B" w:rsidR="000D5553" w:rsidRPr="000041BA" w:rsidRDefault="000D5553" w:rsidP="00D652A5">
            <w:pPr>
              <w:jc w:val="center"/>
              <w:rPr>
                <w:rFonts w:eastAsia="Times New Roman"/>
                <w:color w:val="000000"/>
                <w:sz w:val="22"/>
                <w:szCs w:val="22"/>
              </w:rPr>
            </w:pPr>
            <w:r w:rsidRPr="000041BA">
              <w:rPr>
                <w:rFonts w:eastAsia="Times New Roman"/>
                <w:color w:val="000000"/>
                <w:sz w:val="22"/>
                <w:szCs w:val="22"/>
              </w:rPr>
              <w:t>0.</w:t>
            </w:r>
            <w:r w:rsidR="00D652A5">
              <w:rPr>
                <w:rFonts w:eastAsia="Times New Roman"/>
                <w:color w:val="000000"/>
                <w:sz w:val="22"/>
                <w:szCs w:val="22"/>
              </w:rPr>
              <w:t>40</w:t>
            </w:r>
          </w:p>
        </w:tc>
        <w:tc>
          <w:tcPr>
            <w:tcW w:w="0" w:type="auto"/>
            <w:tcBorders>
              <w:top w:val="nil"/>
              <w:left w:val="nil"/>
              <w:bottom w:val="nil"/>
              <w:right w:val="nil"/>
            </w:tcBorders>
            <w:shd w:val="clear" w:color="000000" w:fill="E7E6E6"/>
            <w:noWrap/>
            <w:vAlign w:val="center"/>
            <w:hideMark/>
          </w:tcPr>
          <w:p w14:paraId="1D8FBD0F" w14:textId="032F1380"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-0.0011</w:t>
            </w:r>
          </w:p>
        </w:tc>
        <w:tc>
          <w:tcPr>
            <w:tcW w:w="0" w:type="auto"/>
            <w:tcBorders>
              <w:top w:val="nil"/>
              <w:left w:val="nil"/>
              <w:bottom w:val="nil"/>
              <w:right w:val="nil"/>
            </w:tcBorders>
            <w:shd w:val="clear" w:color="auto" w:fill="auto"/>
            <w:noWrap/>
            <w:vAlign w:val="center"/>
            <w:hideMark/>
          </w:tcPr>
          <w:p w14:paraId="2E54A7C4" w14:textId="523F8F20" w:rsidR="000D5553" w:rsidRPr="000041BA" w:rsidRDefault="000D5553" w:rsidP="00D652A5">
            <w:pPr>
              <w:jc w:val="center"/>
              <w:rPr>
                <w:rFonts w:eastAsia="Times New Roman"/>
                <w:color w:val="000000"/>
                <w:sz w:val="22"/>
                <w:szCs w:val="22"/>
              </w:rPr>
            </w:pPr>
            <w:r w:rsidRPr="000041BA">
              <w:rPr>
                <w:rFonts w:eastAsia="Times New Roman"/>
                <w:color w:val="000000"/>
                <w:sz w:val="22"/>
                <w:szCs w:val="22"/>
              </w:rPr>
              <w:t>-0.</w:t>
            </w:r>
            <w:r w:rsidR="00D652A5" w:rsidRPr="000041BA">
              <w:rPr>
                <w:rFonts w:eastAsia="Times New Roman"/>
                <w:color w:val="000000"/>
                <w:sz w:val="22"/>
                <w:szCs w:val="22"/>
              </w:rPr>
              <w:t>001</w:t>
            </w:r>
            <w:r w:rsidR="00D652A5">
              <w:rPr>
                <w:rFonts w:eastAsia="Times New Roman"/>
                <w:color w:val="000000"/>
                <w:sz w:val="22"/>
                <w:szCs w:val="22"/>
              </w:rPr>
              <w:t>0</w:t>
            </w:r>
          </w:p>
        </w:tc>
        <w:tc>
          <w:tcPr>
            <w:tcW w:w="0" w:type="auto"/>
            <w:tcBorders>
              <w:top w:val="nil"/>
              <w:left w:val="nil"/>
              <w:bottom w:val="nil"/>
              <w:right w:val="nil"/>
            </w:tcBorders>
            <w:shd w:val="clear" w:color="000000" w:fill="E7E6E6"/>
            <w:noWrap/>
            <w:vAlign w:val="center"/>
            <w:hideMark/>
          </w:tcPr>
          <w:p w14:paraId="00B4D057" w14:textId="0E71AE63"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3</w:t>
            </w:r>
          </w:p>
        </w:tc>
      </w:tr>
      <w:tr w:rsidR="000D5553" w:rsidRPr="000041BA" w14:paraId="55DE5BCC" w14:textId="77777777" w:rsidTr="000041BA">
        <w:trPr>
          <w:trHeight w:val="20"/>
        </w:trPr>
        <w:tc>
          <w:tcPr>
            <w:tcW w:w="0" w:type="auto"/>
            <w:tcBorders>
              <w:top w:val="nil"/>
              <w:left w:val="nil"/>
              <w:bottom w:val="single" w:sz="4" w:space="0" w:color="auto"/>
              <w:right w:val="nil"/>
            </w:tcBorders>
            <w:shd w:val="clear" w:color="auto" w:fill="auto"/>
            <w:noWrap/>
            <w:vAlign w:val="center"/>
            <w:hideMark/>
          </w:tcPr>
          <w:p w14:paraId="0115EF45" w14:textId="229EF30B" w:rsidR="000D5553" w:rsidRPr="000041BA" w:rsidRDefault="000D5553" w:rsidP="003B6635">
            <w:pPr>
              <w:rPr>
                <w:rFonts w:eastAsia="Times New Roman"/>
                <w:color w:val="000000"/>
                <w:sz w:val="22"/>
                <w:szCs w:val="22"/>
              </w:rPr>
            </w:pPr>
            <w:r w:rsidRPr="000041BA">
              <w:rPr>
                <w:rFonts w:eastAsia="Times New Roman"/>
                <w:color w:val="000000"/>
                <w:sz w:val="22"/>
                <w:szCs w:val="22"/>
              </w:rPr>
              <w:t>SO Region 4</w:t>
            </w:r>
          </w:p>
        </w:tc>
        <w:tc>
          <w:tcPr>
            <w:tcW w:w="0" w:type="auto"/>
            <w:tcBorders>
              <w:top w:val="nil"/>
              <w:left w:val="nil"/>
              <w:bottom w:val="single" w:sz="4" w:space="0" w:color="auto"/>
              <w:right w:val="nil"/>
            </w:tcBorders>
            <w:shd w:val="clear" w:color="auto" w:fill="auto"/>
            <w:noWrap/>
            <w:vAlign w:val="center"/>
            <w:hideMark/>
          </w:tcPr>
          <w:p w14:paraId="4188EDFD" w14:textId="667FAAF6" w:rsidR="000D5553" w:rsidRPr="000041BA" w:rsidRDefault="000D5553" w:rsidP="003B6635">
            <w:pPr>
              <w:jc w:val="center"/>
              <w:rPr>
                <w:rFonts w:eastAsia="Times New Roman"/>
                <w:color w:val="000000"/>
                <w:sz w:val="22"/>
                <w:szCs w:val="22"/>
              </w:rPr>
            </w:pPr>
            <w:r w:rsidRPr="000041BA">
              <w:rPr>
                <w:rFonts w:ascii="Tmes new" w:eastAsia="Times New Roman" w:hAnsi="Tmes new"/>
                <w:color w:val="000000"/>
                <w:sz w:val="22"/>
                <w:szCs w:val="22"/>
              </w:rPr>
              <w:t>61.5°S</w:t>
            </w:r>
          </w:p>
        </w:tc>
        <w:tc>
          <w:tcPr>
            <w:tcW w:w="0" w:type="auto"/>
            <w:tcBorders>
              <w:top w:val="nil"/>
              <w:left w:val="nil"/>
              <w:bottom w:val="single" w:sz="4" w:space="0" w:color="auto"/>
              <w:right w:val="nil"/>
            </w:tcBorders>
            <w:shd w:val="clear" w:color="auto" w:fill="auto"/>
            <w:noWrap/>
            <w:vAlign w:val="center"/>
            <w:hideMark/>
          </w:tcPr>
          <w:p w14:paraId="3D1EE2C8" w14:textId="7298E38C" w:rsidR="000D5553" w:rsidRPr="000041BA" w:rsidRDefault="000D5553" w:rsidP="003B6635">
            <w:pPr>
              <w:jc w:val="center"/>
              <w:rPr>
                <w:rFonts w:eastAsia="Times New Roman"/>
                <w:color w:val="000000"/>
                <w:sz w:val="22"/>
                <w:szCs w:val="22"/>
              </w:rPr>
            </w:pPr>
            <w:r w:rsidRPr="000041BA">
              <w:rPr>
                <w:rFonts w:ascii="Tmes new" w:eastAsia="Times New Roman" w:hAnsi="Tmes new"/>
                <w:color w:val="000000"/>
                <w:sz w:val="22"/>
                <w:szCs w:val="22"/>
              </w:rPr>
              <w:t>62°W</w:t>
            </w:r>
          </w:p>
        </w:tc>
        <w:tc>
          <w:tcPr>
            <w:tcW w:w="0" w:type="auto"/>
            <w:tcBorders>
              <w:top w:val="nil"/>
              <w:left w:val="nil"/>
              <w:bottom w:val="single" w:sz="4" w:space="0" w:color="auto"/>
              <w:right w:val="nil"/>
            </w:tcBorders>
            <w:shd w:val="clear" w:color="000000" w:fill="E7E6E6"/>
            <w:noWrap/>
            <w:vAlign w:val="center"/>
            <w:hideMark/>
          </w:tcPr>
          <w:p w14:paraId="64EEF483" w14:textId="3550E3E8"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 </w:t>
            </w:r>
          </w:p>
        </w:tc>
        <w:tc>
          <w:tcPr>
            <w:tcW w:w="0" w:type="auto"/>
            <w:tcBorders>
              <w:top w:val="nil"/>
              <w:left w:val="nil"/>
              <w:bottom w:val="single" w:sz="4" w:space="0" w:color="auto"/>
              <w:right w:val="nil"/>
            </w:tcBorders>
            <w:shd w:val="clear" w:color="auto" w:fill="auto"/>
            <w:noWrap/>
            <w:vAlign w:val="center"/>
            <w:hideMark/>
          </w:tcPr>
          <w:p w14:paraId="3E2727F9" w14:textId="6B6290AB" w:rsidR="000D5553" w:rsidRPr="000041BA" w:rsidRDefault="000D5553" w:rsidP="00D652A5">
            <w:pPr>
              <w:jc w:val="center"/>
              <w:rPr>
                <w:rFonts w:eastAsia="Times New Roman"/>
                <w:color w:val="000000"/>
                <w:sz w:val="22"/>
                <w:szCs w:val="22"/>
              </w:rPr>
            </w:pPr>
            <w:r w:rsidRPr="000041BA">
              <w:rPr>
                <w:rFonts w:eastAsia="Times New Roman"/>
                <w:color w:val="000000"/>
                <w:sz w:val="22"/>
                <w:szCs w:val="22"/>
              </w:rPr>
              <w:t>0.</w:t>
            </w:r>
            <w:r w:rsidR="00D652A5" w:rsidRPr="000041BA">
              <w:rPr>
                <w:rFonts w:eastAsia="Times New Roman"/>
                <w:color w:val="000000"/>
                <w:sz w:val="22"/>
                <w:szCs w:val="22"/>
              </w:rPr>
              <w:t>0</w:t>
            </w:r>
            <w:r w:rsidR="00D652A5">
              <w:rPr>
                <w:rFonts w:eastAsia="Times New Roman"/>
                <w:color w:val="000000"/>
                <w:sz w:val="22"/>
                <w:szCs w:val="22"/>
              </w:rPr>
              <w:t>18</w:t>
            </w:r>
          </w:p>
        </w:tc>
        <w:tc>
          <w:tcPr>
            <w:tcW w:w="0" w:type="auto"/>
            <w:tcBorders>
              <w:top w:val="nil"/>
              <w:left w:val="nil"/>
              <w:bottom w:val="single" w:sz="4" w:space="0" w:color="auto"/>
              <w:right w:val="nil"/>
            </w:tcBorders>
            <w:shd w:val="clear" w:color="000000" w:fill="E7E6E6"/>
            <w:noWrap/>
            <w:vAlign w:val="center"/>
            <w:hideMark/>
          </w:tcPr>
          <w:p w14:paraId="7F3541E3" w14:textId="2F758584" w:rsidR="000D5553" w:rsidRPr="000041BA" w:rsidRDefault="000D5553" w:rsidP="004F7F5E">
            <w:pPr>
              <w:jc w:val="center"/>
              <w:rPr>
                <w:rFonts w:eastAsia="Times New Roman"/>
                <w:color w:val="000000"/>
                <w:sz w:val="22"/>
                <w:szCs w:val="22"/>
              </w:rPr>
            </w:pPr>
            <w:r w:rsidRPr="000041BA">
              <w:rPr>
                <w:rFonts w:eastAsia="Times New Roman"/>
                <w:color w:val="000000"/>
                <w:sz w:val="22"/>
                <w:szCs w:val="22"/>
              </w:rPr>
              <w:t>0.</w:t>
            </w:r>
            <w:r w:rsidR="004F7F5E">
              <w:rPr>
                <w:rFonts w:eastAsia="Times New Roman"/>
                <w:color w:val="000000"/>
                <w:sz w:val="22"/>
                <w:szCs w:val="22"/>
              </w:rPr>
              <w:t>59</w:t>
            </w:r>
          </w:p>
        </w:tc>
        <w:tc>
          <w:tcPr>
            <w:tcW w:w="0" w:type="auto"/>
            <w:tcBorders>
              <w:top w:val="nil"/>
              <w:left w:val="nil"/>
              <w:bottom w:val="single" w:sz="4" w:space="0" w:color="auto"/>
              <w:right w:val="nil"/>
            </w:tcBorders>
            <w:shd w:val="clear" w:color="auto" w:fill="auto"/>
            <w:noWrap/>
            <w:vAlign w:val="center"/>
            <w:hideMark/>
          </w:tcPr>
          <w:p w14:paraId="392D97C7" w14:textId="3F54EC5A" w:rsidR="000D5553" w:rsidRPr="000041BA" w:rsidRDefault="000D5553" w:rsidP="00D652A5">
            <w:pPr>
              <w:jc w:val="center"/>
              <w:rPr>
                <w:rFonts w:eastAsia="Times New Roman"/>
                <w:color w:val="000000"/>
                <w:sz w:val="22"/>
                <w:szCs w:val="22"/>
              </w:rPr>
            </w:pPr>
            <w:r w:rsidRPr="000041BA">
              <w:rPr>
                <w:rFonts w:eastAsia="Times New Roman"/>
                <w:color w:val="000000"/>
                <w:sz w:val="22"/>
                <w:szCs w:val="22"/>
              </w:rPr>
              <w:t>0.</w:t>
            </w:r>
            <w:r w:rsidR="00D652A5">
              <w:rPr>
                <w:rFonts w:eastAsia="Times New Roman"/>
                <w:color w:val="000000"/>
                <w:sz w:val="22"/>
                <w:szCs w:val="22"/>
              </w:rPr>
              <w:t>39</w:t>
            </w:r>
          </w:p>
        </w:tc>
        <w:tc>
          <w:tcPr>
            <w:tcW w:w="0" w:type="auto"/>
            <w:tcBorders>
              <w:top w:val="nil"/>
              <w:left w:val="nil"/>
              <w:bottom w:val="single" w:sz="4" w:space="0" w:color="auto"/>
              <w:right w:val="nil"/>
            </w:tcBorders>
            <w:shd w:val="clear" w:color="000000" w:fill="E7E6E6"/>
            <w:noWrap/>
            <w:vAlign w:val="center"/>
            <w:hideMark/>
          </w:tcPr>
          <w:p w14:paraId="25247FF1" w14:textId="4A8FD27F" w:rsidR="000D5553" w:rsidRPr="000041BA" w:rsidRDefault="000D5553" w:rsidP="00112302">
            <w:pPr>
              <w:jc w:val="center"/>
              <w:rPr>
                <w:rFonts w:eastAsia="Times New Roman"/>
                <w:color w:val="000000"/>
                <w:sz w:val="22"/>
                <w:szCs w:val="22"/>
              </w:rPr>
            </w:pPr>
            <w:r w:rsidRPr="000041BA">
              <w:rPr>
                <w:rFonts w:eastAsia="Times New Roman"/>
                <w:color w:val="000000"/>
                <w:sz w:val="22"/>
                <w:szCs w:val="22"/>
              </w:rPr>
              <w:t>-0.</w:t>
            </w:r>
            <w:r w:rsidR="00112302" w:rsidRPr="000041BA">
              <w:rPr>
                <w:rFonts w:eastAsia="Times New Roman"/>
                <w:color w:val="000000"/>
                <w:sz w:val="22"/>
                <w:szCs w:val="22"/>
              </w:rPr>
              <w:t>001</w:t>
            </w:r>
            <w:r w:rsidR="00112302">
              <w:rPr>
                <w:rFonts w:eastAsia="Times New Roman"/>
                <w:color w:val="000000"/>
                <w:sz w:val="22"/>
                <w:szCs w:val="22"/>
              </w:rPr>
              <w:t>3</w:t>
            </w:r>
          </w:p>
        </w:tc>
        <w:tc>
          <w:tcPr>
            <w:tcW w:w="0" w:type="auto"/>
            <w:tcBorders>
              <w:top w:val="nil"/>
              <w:left w:val="nil"/>
              <w:bottom w:val="single" w:sz="4" w:space="0" w:color="auto"/>
              <w:right w:val="nil"/>
            </w:tcBorders>
            <w:shd w:val="clear" w:color="auto" w:fill="auto"/>
            <w:noWrap/>
            <w:vAlign w:val="center"/>
            <w:hideMark/>
          </w:tcPr>
          <w:p w14:paraId="044D0171" w14:textId="37FC18D4" w:rsidR="000D5553" w:rsidRPr="000041BA" w:rsidRDefault="000D5553" w:rsidP="00D652A5">
            <w:pPr>
              <w:jc w:val="center"/>
              <w:rPr>
                <w:rFonts w:eastAsia="Times New Roman"/>
                <w:color w:val="000000"/>
                <w:sz w:val="22"/>
                <w:szCs w:val="22"/>
              </w:rPr>
            </w:pPr>
            <w:r w:rsidRPr="000041BA">
              <w:rPr>
                <w:rFonts w:eastAsia="Times New Roman"/>
                <w:color w:val="000000"/>
                <w:sz w:val="22"/>
                <w:szCs w:val="22"/>
              </w:rPr>
              <w:t>-0.</w:t>
            </w:r>
            <w:r w:rsidR="00D652A5" w:rsidRPr="000041BA">
              <w:rPr>
                <w:rFonts w:eastAsia="Times New Roman"/>
                <w:color w:val="000000"/>
                <w:sz w:val="22"/>
                <w:szCs w:val="22"/>
              </w:rPr>
              <w:t>001</w:t>
            </w:r>
            <w:r w:rsidR="00D652A5">
              <w:rPr>
                <w:rFonts w:eastAsia="Times New Roman"/>
                <w:color w:val="000000"/>
                <w:sz w:val="22"/>
                <w:szCs w:val="22"/>
              </w:rPr>
              <w:t>1</w:t>
            </w:r>
          </w:p>
        </w:tc>
        <w:tc>
          <w:tcPr>
            <w:tcW w:w="0" w:type="auto"/>
            <w:tcBorders>
              <w:top w:val="nil"/>
              <w:left w:val="nil"/>
              <w:bottom w:val="single" w:sz="4" w:space="0" w:color="auto"/>
              <w:right w:val="nil"/>
            </w:tcBorders>
            <w:shd w:val="clear" w:color="000000" w:fill="E7E6E6"/>
            <w:noWrap/>
            <w:vAlign w:val="center"/>
            <w:hideMark/>
          </w:tcPr>
          <w:p w14:paraId="193D0B11" w14:textId="26966343" w:rsidR="000D5553" w:rsidRPr="000041BA" w:rsidRDefault="000D5553" w:rsidP="003B6635">
            <w:pPr>
              <w:jc w:val="center"/>
              <w:rPr>
                <w:rFonts w:eastAsia="Times New Roman"/>
                <w:color w:val="000000"/>
                <w:sz w:val="22"/>
                <w:szCs w:val="22"/>
              </w:rPr>
            </w:pPr>
            <w:r w:rsidRPr="000041BA">
              <w:rPr>
                <w:rFonts w:eastAsia="Times New Roman"/>
                <w:color w:val="000000"/>
                <w:sz w:val="22"/>
                <w:szCs w:val="22"/>
              </w:rPr>
              <w:t>3</w:t>
            </w:r>
          </w:p>
        </w:tc>
      </w:tr>
    </w:tbl>
    <w:p w14:paraId="00FF7336" w14:textId="15E41582" w:rsidR="0026273B" w:rsidRPr="008428A8" w:rsidRDefault="0026273B" w:rsidP="00897393">
      <w:pPr>
        <w:pStyle w:val="ListParagraph"/>
        <w:spacing w:before="60" w:after="0" w:line="240" w:lineRule="auto"/>
        <w:ind w:left="0"/>
        <w:contextualSpacing w:val="0"/>
        <w:jc w:val="both"/>
        <w:rPr>
          <w:rFonts w:ascii="Times New Roman" w:hAnsi="Times New Roman" w:cs="Times New Roman"/>
          <w:sz w:val="24"/>
          <w:szCs w:val="24"/>
        </w:rPr>
      </w:pPr>
      <w:r w:rsidRPr="008428A8">
        <w:rPr>
          <w:rFonts w:ascii="Times New Roman" w:hAnsi="Times New Roman" w:cs="Times New Roman"/>
          <w:sz w:val="24"/>
          <w:szCs w:val="24"/>
          <w:vertAlign w:val="superscript"/>
        </w:rPr>
        <w:t>1</w:t>
      </w:r>
      <w:r w:rsidR="002F0C32">
        <w:rPr>
          <w:rFonts w:ascii="Times New Roman" w:hAnsi="Times New Roman" w:cs="Times New Roman"/>
          <w:sz w:val="24"/>
          <w:szCs w:val="24"/>
          <w:vertAlign w:val="superscript"/>
        </w:rPr>
        <w:t xml:space="preserve"> </w:t>
      </w:r>
      <w:r w:rsidRPr="008428A8">
        <w:rPr>
          <w:rFonts w:ascii="Times New Roman" w:hAnsi="Times New Roman" w:cs="Times New Roman"/>
          <w:sz w:val="24"/>
          <w:szCs w:val="24"/>
        </w:rPr>
        <w:fldChar w:fldCharType="begin" w:fldLock="1"/>
      </w:r>
      <w:r w:rsidR="006B19BF">
        <w:rPr>
          <w:rFonts w:ascii="Times New Roman" w:hAnsi="Times New Roman" w:cs="Times New Roman"/>
          <w:sz w:val="24"/>
          <w:szCs w:val="24"/>
        </w:rPr>
        <w:instrText>ADDIN CSL_CITATION { "citationItems" : [ { "id" : "ITEM-1", "itemData" : { "DOI" : "10.5670/oceanog.2014.16", "ISSN" : "10428275", "abstract" : "Sustained observations provide critically needed data and understanding not only about ocean warming and water cycle reorganization (e.g., salinity changes), ocean eutrophication, and ocean deoxygenation, but also about changes in ocean chemistry. As an example of changes in the global ocean carbon cycle, consistent changes in surface seawater CO2-carbonate chemistry are documented by seven independent CO2 time series that provide sustained ocean observations collected for periods from 15 to 30 years: (1) Iceland Sea, (2) Irminger Sea, (3) Bermuda Atlantic Time-series Study (BATS), (4) European Station for Time series in the Ocean at the Canary Islands (ESTOC), (5) CArbon Retention In A Colored Ocean sites in the North Atlantic (CARIACO), (6) Hawaii Ocean Time-series (HOT), and (7) Munida in the Pacific Ocean. These ocean time-series sites exhibit very consistent changes in surface ocean chemistry that reflect the impact of uptake of anthropogenic CO2 and ocean acidification. The article discusses the long-term changes in dissolved inorganic carbon (DIC), salinity-normalized DIC, and surface seawater pCO2 (partial pressure of CO2) due to the uptake of anthropogenic CO2 and its impact on the ocean's buffering capacity. In addition, we evaluate changes in seawater chemistry that are due to ocean acidification and its impact on pH and saturation states for biogenic calcium carbonate minerals.", "author" : [ { "dropping-particle" : "", "family" : "Bates", "given" : "Nicholas", "non-dropping-particle" : "", "parse-names" : false, "suffix" : "" }, { "dropping-particle" : "", "family" : "Astor", "given" : "Yrene", "non-dropping-particle" : "", "parse-names" : false, "suffix" : "" }, { "dropping-particle" : "", "family" : "Church", "given" : "Matthew", "non-dropping-particle" : "", "parse-names" : false, "suffix" : "" }, { "dropping-particle" : "", "family" : "Currie", "given" : "Kim", "non-dropping-particle" : "", "parse-names" : false, "suffix" : "" }, { "dropping-particle" : "", "family" : "Dore", "given" : "John", "non-dropping-particle" : "", "parse-names" : false, "suffix" : "" }, { "dropping-particle" : "", "family" : "Gona\u00e1lez-D\u00e1vila", "given" : "Melchor", "non-dropping-particle" : "", "parse-names" : false, "suffix" : "" }, { "dropping-particle" : "", "family" : "Lorenzoni", "given" : "Laura", "non-dropping-particle" : "", "parse-names" : false, "suffix" : "" }, { "dropping-particle" : "", "family" : "Muller-Karger", "given" : "Frank", "non-dropping-particle" : "", "parse-names" : false, "suffix" : "" }, { "dropping-particle" : "", "family" : "Olafsson", "given" : "Jon", "non-dropping-particle" : "", "parse-names" : false, "suffix" : "" }, { "dropping-particle" : "", "family" : "Santa-Casiano", "given" : "Magdalena", "non-dropping-particle" : "", "parse-names" : false, "suffix" : "" } ], "container-title" : "Oceanography", "id" : "ITEM-1", "issue" : "1", "issued" : { "date-parts" : [ [ "2014", "3", "1" ] ] }, "page" : "126-141", "title" : "A Time-Series View of Changing Ocean Chemistry Due to Ocean Uptake of Anthropogenic CO&lt;sub&gt;2&lt;/sub&gt; and Ocean Acidification", "type" : "article-journal", "volume" : "27" }, "uris" : [ "http://www.mendeley.com/documents/?uuid=5ea39933-eba4-46de-8c10-0f3cab507f58" ] } ], "mendeley" : { "formattedCitation" : "[&lt;i&gt;Bates et al.&lt;/i&gt;, 2014]", "manualFormatting" : "Bates et al., [2014]", "plainTextFormattedCitation" : "[Bates et al., 2014]", "previouslyFormattedCitation" : "[&lt;i&gt;Bates et al.&lt;/i&gt;, 2014]" }, "properties" : { "noteIndex" : 0 }, "schema" : "https://github.com/citation-style-language/schema/raw/master/csl-citation.json" }</w:instrText>
      </w:r>
      <w:r w:rsidRPr="008428A8">
        <w:rPr>
          <w:rFonts w:ascii="Times New Roman" w:hAnsi="Times New Roman" w:cs="Times New Roman"/>
          <w:sz w:val="24"/>
          <w:szCs w:val="24"/>
        </w:rPr>
        <w:fldChar w:fldCharType="separate"/>
      </w:r>
      <w:r w:rsidRPr="008428A8">
        <w:rPr>
          <w:rFonts w:ascii="Times New Roman" w:hAnsi="Times New Roman" w:cs="Times New Roman"/>
          <w:i/>
          <w:noProof/>
          <w:sz w:val="24"/>
          <w:szCs w:val="24"/>
        </w:rPr>
        <w:t>Bates et al.</w:t>
      </w:r>
      <w:r w:rsidRPr="008428A8">
        <w:rPr>
          <w:rFonts w:ascii="Times New Roman" w:hAnsi="Times New Roman" w:cs="Times New Roman"/>
          <w:noProof/>
          <w:sz w:val="24"/>
          <w:szCs w:val="24"/>
        </w:rPr>
        <w:t xml:space="preserve"> [2014]</w:t>
      </w:r>
      <w:r w:rsidRPr="008428A8">
        <w:rPr>
          <w:rFonts w:ascii="Times New Roman" w:hAnsi="Times New Roman" w:cs="Times New Roman"/>
          <w:sz w:val="24"/>
          <w:szCs w:val="24"/>
        </w:rPr>
        <w:fldChar w:fldCharType="end"/>
      </w:r>
    </w:p>
    <w:p w14:paraId="62F38667" w14:textId="7CC8EC79" w:rsidR="0026273B" w:rsidRPr="002F0C32" w:rsidRDefault="0026273B" w:rsidP="0026273B">
      <w:pPr>
        <w:pStyle w:val="ListParagraph"/>
        <w:spacing w:after="0" w:line="240" w:lineRule="auto"/>
        <w:ind w:left="0"/>
        <w:jc w:val="both"/>
        <w:rPr>
          <w:rFonts w:ascii="Times New Roman" w:hAnsi="Times New Roman" w:cs="Times New Roman"/>
          <w:sz w:val="24"/>
          <w:szCs w:val="24"/>
        </w:rPr>
      </w:pPr>
      <w:r w:rsidRPr="002F0C32">
        <w:rPr>
          <w:rFonts w:ascii="Times New Roman" w:hAnsi="Times New Roman" w:cs="Times New Roman"/>
          <w:sz w:val="24"/>
          <w:szCs w:val="24"/>
          <w:vertAlign w:val="superscript"/>
        </w:rPr>
        <w:t>2</w:t>
      </w:r>
      <w:r w:rsidR="002F0C32">
        <w:rPr>
          <w:rFonts w:ascii="Times New Roman" w:hAnsi="Times New Roman" w:cs="Times New Roman"/>
          <w:sz w:val="24"/>
          <w:szCs w:val="24"/>
          <w:vertAlign w:val="superscript"/>
        </w:rPr>
        <w:t xml:space="preserve"> </w:t>
      </w:r>
      <w:r w:rsidRPr="002F0C32">
        <w:rPr>
          <w:rFonts w:ascii="Times New Roman" w:hAnsi="Times New Roman" w:cs="Times New Roman"/>
          <w:sz w:val="24"/>
          <w:szCs w:val="24"/>
        </w:rPr>
        <w:fldChar w:fldCharType="begin" w:fldLock="1"/>
      </w:r>
      <w:r w:rsidR="006B19BF">
        <w:rPr>
          <w:rFonts w:ascii="Times New Roman" w:hAnsi="Times New Roman" w:cs="Times New Roman"/>
          <w:sz w:val="24"/>
          <w:szCs w:val="24"/>
        </w:rPr>
        <w:instrText>ADDIN CSL_CITATION { "citationItems" : [ { "id" : "ITEM-1", "itemData" : { "DOI" : "10.1002/2013GB004679", "ISBN" : "08866236", "ISSN" : "08866236", "abstract" : "We examine the hypothesis that global scale episodes of anoxia such as occurred in the Cretaceous are due to high productivity and/or stagnation of the circulation. Two modes of ocean circulation are considered: a thermohaline overturning cell, essentially vertical, which involves global scale upwelling into the surface followed by sinking in deep water formation regions; and an approximately horizontal cell which connects the abyss directly with deeply convecting waters in deep water formation regions. Modern analogs for these processes are formation of North Atlantic Deep Water and Antarctic Bottom Water, respectively. Over most of the oceans the surface new production is nutrient limited and thus directly proportional to the supply of nutrients by the vertical overturning cell. A reduction in oxygen can only be brought about by increased vertical overturning associated with increased production. In addition, the model shows that as the deep ocean becomes lower in oxygen, the sensitivity of the oxygen levels to the meridional circulation decreases such that it becomes difficult or impossible to achieve complete anoxia. This relative insensitivity of deep ocean oxygen levels to the magnitude of the vertical overturning cell and associated surface production may explain why it has been difficult to establish a clear connection between high surface productivities in low and mid-latitudes and anoxia. In deep water formation regions, on the other hand, new production is not nutrient limited. A reduction in abyssal oxygen can be brought about by high productivity in such regions and/or by stagnation of the horizontal circulation cell, in accordance with the stagnation hypothesis. Furthermore, the sensitivity of the deep ocean oxygen to the processes occurring in deep water formation regions increases as oxygen levels decrease. We therefore suggest that processes occurring in deep water formation regions may be the critical ones in determining deep ocean oxygen.", "author" : [ { "dropping-particle" : "", "family" : "Sutton", "given" : "A. J.", "non-dropping-particle" : "", "parse-names" : false, "suffix" : "" }, { "dropping-particle" : "", "family" : "Feely", "given" : "R.A.", "non-dropping-particle" : "", "parse-names" : false, "suffix" : "" }, { "dropping-particle" : "", "family" : "Sabine", "given" : "C. L.", "non-dropping-particle" : "", "parse-names" : false, "suffix" : "" }, { "dropping-particle" : "", "family" : "McPhaden", "given" : "M.J.", "non-dropping-particle" : "", "parse-names" : false, "suffix" : "" }, { "dropping-particle" : "", "family" : "Takahashi", "given" : "T.", "non-dropping-particle" : "", "parse-names" : false, "suffix" : "" }, { "dropping-particle" : "", "family" : "Chavez", "given" : "F. P.", "non-dropping-particle" : "", "parse-names" : false, "suffix" : "" }, { "dropping-particle" : "", "family" : "Friederich", "given" : "G.", "non-dropping-particle" : "", "parse-names" : false, "suffix" : "" }, { "dropping-particle" : "", "family" : "Mathis", "given" : "J.T.", "non-dropping-particle" : "", "parse-names" : false, "suffix" : "" } ], "container-title" : "Global Biogeochemical Cycles", "id" : "ITEM-1", "issue" : "2", "issued" : { "date-parts" : [ [ "2014", "2" ] ] }, "page" : "131-145", "title" : "Natural variability and anthropogenic change in equatorial Pacific surface ocean &lt;i&gt;p&lt;/i&gt;CO&lt;sub&gt;2&lt;/sub&gt; and pH", "type" : "article-journal", "volume" : "28" }, "uris" : [ "http://www.mendeley.com/documents/?uuid=2cb63834-7d17-435c-aa6a-74b497ab71ff" ] } ], "mendeley" : { "formattedCitation" : "[&lt;i&gt;Sutton et al.&lt;/i&gt;, 2014]", "manualFormatting" : "Sutton et al., [2014]", "plainTextFormattedCitation" : "[Sutton et al., 2014]", "previouslyFormattedCitation" : "[&lt;i&gt;Sutton et al.&lt;/i&gt;, 2014]" }, "properties" : { "noteIndex" : 0 }, "schema" : "https://github.com/citation-style-language/schema/raw/master/csl-citation.json" }</w:instrText>
      </w:r>
      <w:r w:rsidRPr="002F0C32">
        <w:rPr>
          <w:rFonts w:ascii="Times New Roman" w:hAnsi="Times New Roman" w:cs="Times New Roman"/>
          <w:sz w:val="24"/>
          <w:szCs w:val="24"/>
        </w:rPr>
        <w:fldChar w:fldCharType="separate"/>
      </w:r>
      <w:r w:rsidRPr="002F0C32">
        <w:rPr>
          <w:rFonts w:ascii="Times New Roman" w:hAnsi="Times New Roman" w:cs="Times New Roman"/>
          <w:i/>
          <w:noProof/>
          <w:sz w:val="24"/>
          <w:szCs w:val="24"/>
        </w:rPr>
        <w:t>Sutton et al</w:t>
      </w:r>
      <w:r w:rsidR="00CE1F70">
        <w:rPr>
          <w:rFonts w:ascii="Times New Roman" w:hAnsi="Times New Roman" w:cs="Times New Roman"/>
          <w:i/>
          <w:noProof/>
          <w:sz w:val="24"/>
          <w:szCs w:val="24"/>
        </w:rPr>
        <w:t>.</w:t>
      </w:r>
      <w:r w:rsidRPr="002F0C32">
        <w:rPr>
          <w:rFonts w:ascii="Times New Roman" w:hAnsi="Times New Roman" w:cs="Times New Roman"/>
          <w:noProof/>
          <w:sz w:val="24"/>
          <w:szCs w:val="24"/>
        </w:rPr>
        <w:t xml:space="preserve"> [2014]</w:t>
      </w:r>
      <w:r w:rsidRPr="002F0C32">
        <w:rPr>
          <w:rFonts w:ascii="Times New Roman" w:hAnsi="Times New Roman" w:cs="Times New Roman"/>
          <w:sz w:val="24"/>
          <w:szCs w:val="24"/>
        </w:rPr>
        <w:fldChar w:fldCharType="end"/>
      </w:r>
    </w:p>
    <w:p w14:paraId="23768501" w14:textId="74D985C4" w:rsidR="008962BB" w:rsidRPr="002F0C32" w:rsidRDefault="002F0C32" w:rsidP="008962BB">
      <w:pPr>
        <w:contextualSpacing/>
        <w:jc w:val="both"/>
      </w:pPr>
      <w:r w:rsidRPr="002F0C32">
        <w:rPr>
          <w:vertAlign w:val="superscript"/>
        </w:rPr>
        <w:t xml:space="preserve">3 </w:t>
      </w:r>
      <w:r w:rsidR="008962BB">
        <w:fldChar w:fldCharType="begin" w:fldLock="1"/>
      </w:r>
      <w:r w:rsidR="006B19BF">
        <w:instrText>ADDIN CSL_CITATION { "citationItems" : [ { "id" : "ITEM-1", "itemData" : { "DOI" : "10.1002/2015GL065194", "ISBN" : "9788578110796", "ISSN" : "00948276", "PMID" : "25246403", "abstract" : "We present a 13year (2002-2015) semimonthly time series of the partial pressure of CO&lt;inf&gt;2&lt;/inf&gt; in surface water (pCO&lt;inf&gt;2surf&lt;/inf&gt;) and other carbonate system parameters from the Drake Passage. This record shows a clear increase in the magnitude of the sea-air pCO&lt;inf&gt;2&lt;/inf&gt; gradient, indicating strengthening of the CO&lt;inf&gt;2&lt;/inf&gt; sink in agreement with recent large-scale analyses of the world oceans. The rate of increase in pCO&lt;inf&gt;2surf&lt;/inf&gt; north of the Antarctic Polar Front (APF) is similar to the atmospheric pCO&lt;inf&gt;2&lt;/inf&gt; (pCO&lt;inf&gt;2atm&lt;/inf&gt;) trend, whereas the pCO&lt;inf&gt;2surf&lt;/inf&gt; increase south of the APF is slower than the pCO&lt;inf&gt;2atm&lt;/inf&gt; trend. The high-frequency surface observations indicate that an absence of a winter increase in total CO&lt;inf&gt;2&lt;/inf&gt; (TCO&lt;inf&gt;2&lt;/inf&gt;) and cooling summer sea surface temperatures are largely responsible for increasing CO&lt;inf&gt;2&lt;/inf&gt; uptake south of the APF. Muted winter trends in surface TCO&lt;inf&gt;2&lt;/inf&gt; also provide temporary stability to the carbonate system that is already close to undersaturation with respect to aragonite.", "author" : [ { "dropping-particle" : "", "family" : "Munro", "given" : "David R", "non-dropping-particle" : "", "parse-names" : false, "suffix" : "" }, { "dropping-particle" : "", "family" : "Lovenduski", "given" : "Nicole S", "non-dropping-particle" : "", "parse-names" : false, "suffix" : "" }, { "dropping-particle" : "", "family" : "Takahashi", "given" : "Taro", "non-dropping-particle" : "", "parse-names" : false, "suffix" : "" }, { "dropping-particle" : "", "family" : "Stephens", "given" : "Britton B", "non-dropping-particle" : "", "parse-names" : false, "suffix" : "" }, { "dropping-particle" : "", "family" : "Newberger", "given" : "Timothy", "non-dropping-particle" : "", "parse-names" : false, "suffix" : "" }, { "dropping-particle" : "", "family" : "Sweeney", "given" : "Colm", "non-dropping-particle" : "", "parse-names" : false, "suffix" : "" } ], "container-title" : "Geophysical Research Letters", "id" : "ITEM-1", "issue" : "18", "issued" : { "date-parts" : [ [ "2015", "9", "28" ] ] }, "page" : "7623-7630", "title" : "Recent evidence for a strengthening CO&lt;sub&gt;2&lt;/sub&gt; sink in the Southern Ocean from carbonate system measurements in the Drake Passage (2002-2015)", "type" : "article-journal", "volume" : "42" }, "uris" : [ "http://www.mendeley.com/documents/?uuid=2196100d-35ae-4289-aadc-b1c861e69867" ] } ], "mendeley" : { "formattedCitation" : "[&lt;i&gt;Munro et al.&lt;/i&gt;, 2015]", "manualFormatting" : "Munro et al., [2015]", "plainTextFormattedCitation" : "[Munro et al., 2015]", "previouslyFormattedCitation" : "[&lt;i&gt;Munro et al.&lt;/i&gt;, 2015]" }, "properties" : { "noteIndex" : 0 }, "schema" : "https://github.com/citation-style-language/schema/raw/master/csl-citation.json" }</w:instrText>
      </w:r>
      <w:r w:rsidR="008962BB">
        <w:fldChar w:fldCharType="separate"/>
      </w:r>
      <w:r w:rsidR="008962BB" w:rsidRPr="002F0C32">
        <w:rPr>
          <w:i/>
          <w:noProof/>
        </w:rPr>
        <w:t>Munro et al</w:t>
      </w:r>
      <w:r w:rsidR="00CE1F70">
        <w:rPr>
          <w:noProof/>
        </w:rPr>
        <w:t>.</w:t>
      </w:r>
      <w:r w:rsidR="008962BB" w:rsidRPr="002F0C32">
        <w:rPr>
          <w:noProof/>
        </w:rPr>
        <w:t xml:space="preserve"> </w:t>
      </w:r>
      <w:r w:rsidR="008962BB">
        <w:rPr>
          <w:noProof/>
        </w:rPr>
        <w:t>[</w:t>
      </w:r>
      <w:r w:rsidR="008962BB" w:rsidRPr="002F0C32">
        <w:rPr>
          <w:noProof/>
        </w:rPr>
        <w:t>2015]</w:t>
      </w:r>
      <w:r w:rsidR="008962BB">
        <w:fldChar w:fldCharType="end"/>
      </w:r>
    </w:p>
    <w:p w14:paraId="5F8ECBE1" w14:textId="0244C642" w:rsidR="007F15AE" w:rsidRPr="002F0C32" w:rsidRDefault="007F15AE" w:rsidP="0026273B">
      <w:pPr>
        <w:pStyle w:val="ListParagraph"/>
        <w:spacing w:after="0" w:line="240" w:lineRule="auto"/>
        <w:ind w:left="0"/>
        <w:jc w:val="both"/>
        <w:rPr>
          <w:rFonts w:ascii="Times New Roman" w:hAnsi="Times New Roman" w:cs="Times New Roman"/>
          <w:sz w:val="24"/>
          <w:szCs w:val="24"/>
        </w:rPr>
      </w:pPr>
    </w:p>
    <w:p w14:paraId="04305F7E" w14:textId="77777777" w:rsidR="007F15AE" w:rsidRDefault="007F15AE" w:rsidP="0026273B">
      <w:pPr>
        <w:pStyle w:val="ListParagraph"/>
        <w:spacing w:after="0" w:line="240" w:lineRule="auto"/>
        <w:ind w:left="0"/>
        <w:jc w:val="both"/>
        <w:rPr>
          <w:rFonts w:ascii="Times New Roman" w:hAnsi="Times New Roman" w:cs="Times New Roman"/>
          <w:sz w:val="24"/>
          <w:szCs w:val="24"/>
        </w:rPr>
      </w:pPr>
    </w:p>
    <w:p w14:paraId="2C675ACF" w14:textId="4E43261B" w:rsidR="00E56E3C" w:rsidRDefault="00E56E3C" w:rsidP="0026273B">
      <w:pPr>
        <w:pStyle w:val="ListParagraph"/>
        <w:spacing w:after="0" w:line="240" w:lineRule="auto"/>
        <w:ind w:left="0"/>
        <w:jc w:val="both"/>
        <w:rPr>
          <w:rFonts w:ascii="Times New Roman" w:hAnsi="Times New Roman" w:cs="Times New Roman"/>
          <w:sz w:val="24"/>
          <w:szCs w:val="24"/>
        </w:rPr>
      </w:pPr>
    </w:p>
    <w:p w14:paraId="03EED91D" w14:textId="5353AD71" w:rsidR="005508CF" w:rsidRDefault="0075204A" w:rsidP="0026273B">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D7A7E43" wp14:editId="2ADF6E2D">
            <wp:extent cx="5937885" cy="4803494"/>
            <wp:effectExtent l="0" t="0" r="5715" b="0"/>
            <wp:docPr id="9" name="Picture 9" descr="/Users/andreafassbender/Desktop/Figure_S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dreafassbender/Desktop/Figure_S1.pdf"/>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969"/>
                    <a:stretch/>
                  </pic:blipFill>
                  <pic:spPr bwMode="auto">
                    <a:xfrm>
                      <a:off x="0" y="0"/>
                      <a:ext cx="5937885" cy="4803494"/>
                    </a:xfrm>
                    <a:prstGeom prst="rect">
                      <a:avLst/>
                    </a:prstGeom>
                    <a:noFill/>
                    <a:ln>
                      <a:noFill/>
                    </a:ln>
                    <a:extLst>
                      <a:ext uri="{53640926-AAD7-44D8-BBD7-CCE9431645EC}">
                        <a14:shadowObscured xmlns:a14="http://schemas.microsoft.com/office/drawing/2010/main"/>
                      </a:ext>
                    </a:extLst>
                  </pic:spPr>
                </pic:pic>
              </a:graphicData>
            </a:graphic>
          </wp:inline>
        </w:drawing>
      </w:r>
    </w:p>
    <w:p w14:paraId="4A77036C" w14:textId="57ED96B4" w:rsidR="00E56E3C" w:rsidRDefault="00E56E3C" w:rsidP="0026273B">
      <w:pPr>
        <w:pStyle w:val="ListParagraph"/>
        <w:spacing w:after="0" w:line="240" w:lineRule="auto"/>
        <w:ind w:left="0"/>
        <w:jc w:val="both"/>
        <w:rPr>
          <w:rFonts w:ascii="Times New Roman" w:hAnsi="Times New Roman" w:cs="Times New Roman"/>
          <w:sz w:val="24"/>
          <w:szCs w:val="24"/>
        </w:rPr>
      </w:pPr>
      <w:r w:rsidRPr="00E56E3C">
        <w:rPr>
          <w:rFonts w:ascii="Times New Roman" w:hAnsi="Times New Roman" w:cs="Times New Roman"/>
          <w:b/>
          <w:sz w:val="24"/>
          <w:szCs w:val="24"/>
        </w:rPr>
        <w:t>Figure S1</w:t>
      </w:r>
      <w:r w:rsidR="00C229AD">
        <w:rPr>
          <w:rFonts w:ascii="Times New Roman" w:hAnsi="Times New Roman" w:cs="Times New Roman"/>
          <w:sz w:val="24"/>
          <w:szCs w:val="24"/>
        </w:rPr>
        <w:t xml:space="preserve">. SOCAT-V4 </w:t>
      </w:r>
      <w:r w:rsidR="00D21B16">
        <w:rPr>
          <w:rFonts w:ascii="Times New Roman" w:hAnsi="Times New Roman" w:cs="Times New Roman"/>
          <w:sz w:val="24"/>
          <w:szCs w:val="24"/>
        </w:rPr>
        <w:t xml:space="preserve">(red) </w:t>
      </w:r>
      <w:r w:rsidR="00C229AD">
        <w:rPr>
          <w:rFonts w:ascii="Times New Roman" w:hAnsi="Times New Roman" w:cs="Times New Roman"/>
          <w:sz w:val="24"/>
          <w:szCs w:val="24"/>
        </w:rPr>
        <w:t>and time</w:t>
      </w:r>
      <w:r w:rsidR="000B056B">
        <w:rPr>
          <w:rFonts w:ascii="Times New Roman" w:hAnsi="Times New Roman" w:cs="Times New Roman"/>
          <w:sz w:val="24"/>
          <w:szCs w:val="24"/>
        </w:rPr>
        <w:t xml:space="preserve"> </w:t>
      </w:r>
      <w:r w:rsidR="00C229AD">
        <w:rPr>
          <w:rFonts w:ascii="Times New Roman" w:hAnsi="Times New Roman" w:cs="Times New Roman"/>
          <w:sz w:val="24"/>
          <w:szCs w:val="24"/>
        </w:rPr>
        <w:t>series site</w:t>
      </w:r>
      <w:r w:rsidR="00D21B16">
        <w:rPr>
          <w:rFonts w:ascii="Times New Roman" w:hAnsi="Times New Roman" w:cs="Times New Roman"/>
          <w:sz w:val="24"/>
          <w:szCs w:val="24"/>
        </w:rPr>
        <w:t xml:space="preserve"> (black)</w:t>
      </w:r>
      <w:r w:rsidR="00C229AD">
        <w:rPr>
          <w:rFonts w:ascii="Times New Roman" w:hAnsi="Times New Roman" w:cs="Times New Roman"/>
          <w:sz w:val="24"/>
          <w:szCs w:val="24"/>
        </w:rPr>
        <w:t xml:space="preserve"> climatologies developed for this analysis as described in </w:t>
      </w:r>
      <w:r w:rsidR="00C229AD" w:rsidRPr="002E1F3A">
        <w:rPr>
          <w:rFonts w:ascii="Times New Roman" w:hAnsi="Times New Roman" w:cs="Times New Roman"/>
          <w:b/>
          <w:sz w:val="24"/>
          <w:szCs w:val="24"/>
        </w:rPr>
        <w:t>Section 3</w:t>
      </w:r>
      <w:r w:rsidR="00C229AD">
        <w:rPr>
          <w:rFonts w:ascii="Times New Roman" w:hAnsi="Times New Roman" w:cs="Times New Roman"/>
          <w:sz w:val="24"/>
          <w:szCs w:val="24"/>
        </w:rPr>
        <w:t xml:space="preserve"> and </w:t>
      </w:r>
      <w:r w:rsidR="00C229AD" w:rsidRPr="002E1F3A">
        <w:rPr>
          <w:rFonts w:ascii="Times New Roman" w:hAnsi="Times New Roman" w:cs="Times New Roman"/>
          <w:b/>
          <w:sz w:val="24"/>
          <w:szCs w:val="24"/>
        </w:rPr>
        <w:t>Text S2</w:t>
      </w:r>
      <w:r w:rsidR="00C229AD">
        <w:rPr>
          <w:rFonts w:ascii="Times New Roman" w:hAnsi="Times New Roman" w:cs="Times New Roman"/>
          <w:sz w:val="24"/>
          <w:szCs w:val="24"/>
        </w:rPr>
        <w:t>.</w:t>
      </w:r>
    </w:p>
    <w:p w14:paraId="52CB191B" w14:textId="77777777" w:rsidR="00E56E3C" w:rsidRDefault="00E56E3C" w:rsidP="0026273B">
      <w:pPr>
        <w:pStyle w:val="ListParagraph"/>
        <w:spacing w:after="0" w:line="240" w:lineRule="auto"/>
        <w:ind w:left="0"/>
        <w:jc w:val="both"/>
        <w:rPr>
          <w:rFonts w:ascii="Times New Roman" w:hAnsi="Times New Roman" w:cs="Times New Roman"/>
          <w:sz w:val="24"/>
          <w:szCs w:val="24"/>
        </w:rPr>
      </w:pPr>
    </w:p>
    <w:p w14:paraId="33780891" w14:textId="5084C214" w:rsidR="0026273B" w:rsidRDefault="00241028" w:rsidP="00241028">
      <w:pPr>
        <w:contextualSpacing/>
        <w:jc w:val="center"/>
        <w:rPr>
          <w:b/>
        </w:rPr>
      </w:pPr>
      <w:r>
        <w:rPr>
          <w:b/>
          <w:noProof/>
        </w:rPr>
        <w:drawing>
          <wp:inline distT="0" distB="0" distL="0" distR="0" wp14:anchorId="10164BC4" wp14:editId="7F24575F">
            <wp:extent cx="4287706" cy="2107686"/>
            <wp:effectExtent l="0" t="0" r="508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S2.tif"/>
                    <pic:cNvPicPr/>
                  </pic:nvPicPr>
                  <pic:blipFill rotWithShape="1">
                    <a:blip r:embed="rId14" cstate="print">
                      <a:extLst>
                        <a:ext uri="{28A0092B-C50C-407E-A947-70E740481C1C}">
                          <a14:useLocalDpi xmlns:a14="http://schemas.microsoft.com/office/drawing/2010/main" val="0"/>
                        </a:ext>
                      </a:extLst>
                    </a:blip>
                    <a:srcRect t="7092" b="10981"/>
                    <a:stretch/>
                  </pic:blipFill>
                  <pic:spPr bwMode="auto">
                    <a:xfrm>
                      <a:off x="0" y="0"/>
                      <a:ext cx="4316046" cy="2121617"/>
                    </a:xfrm>
                    <a:prstGeom prst="rect">
                      <a:avLst/>
                    </a:prstGeom>
                    <a:ln>
                      <a:noFill/>
                    </a:ln>
                    <a:extLst>
                      <a:ext uri="{53640926-AAD7-44D8-BBD7-CCE9431645EC}">
                        <a14:shadowObscured xmlns:a14="http://schemas.microsoft.com/office/drawing/2010/main"/>
                      </a:ext>
                    </a:extLst>
                  </pic:spPr>
                </pic:pic>
              </a:graphicData>
            </a:graphic>
          </wp:inline>
        </w:drawing>
      </w:r>
    </w:p>
    <w:p w14:paraId="1810C2A7" w14:textId="26C67927" w:rsidR="0026273B" w:rsidRPr="00B10F95" w:rsidRDefault="0026273B" w:rsidP="005F4293">
      <w:pPr>
        <w:pStyle w:val="ListParagraph"/>
        <w:spacing w:after="0" w:line="240" w:lineRule="auto"/>
        <w:ind w:left="0"/>
        <w:jc w:val="both"/>
        <w:rPr>
          <w:rFonts w:ascii="Times New Roman" w:hAnsi="Times New Roman" w:cs="Times New Roman"/>
          <w:b/>
          <w:noProof/>
          <w:sz w:val="24"/>
          <w:szCs w:val="24"/>
          <w:u w:val="single"/>
        </w:rPr>
      </w:pPr>
      <w:r w:rsidRPr="00B10F95">
        <w:rPr>
          <w:rFonts w:ascii="Times New Roman" w:hAnsi="Times New Roman" w:cs="Times New Roman"/>
          <w:b/>
          <w:noProof/>
          <w:sz w:val="24"/>
          <w:szCs w:val="24"/>
        </w:rPr>
        <w:t>Figure S</w:t>
      </w:r>
      <w:r w:rsidR="007F15AE" w:rsidRPr="00B10F95">
        <w:rPr>
          <w:rFonts w:ascii="Times New Roman" w:hAnsi="Times New Roman" w:cs="Times New Roman"/>
          <w:b/>
          <w:noProof/>
          <w:sz w:val="24"/>
          <w:szCs w:val="24"/>
        </w:rPr>
        <w:t>2</w:t>
      </w:r>
      <w:r w:rsidRPr="00B10F95">
        <w:rPr>
          <w:rFonts w:ascii="Times New Roman" w:hAnsi="Times New Roman" w:cs="Times New Roman"/>
          <w:b/>
          <w:noProof/>
          <w:sz w:val="24"/>
          <w:szCs w:val="24"/>
        </w:rPr>
        <w:t xml:space="preserve">. </w:t>
      </w:r>
      <w:r w:rsidR="00B10F95">
        <w:rPr>
          <w:rFonts w:ascii="Times New Roman" w:hAnsi="Times New Roman" w:cs="Times New Roman"/>
          <w:noProof/>
          <w:sz w:val="24"/>
          <w:szCs w:val="24"/>
        </w:rPr>
        <w:t>N</w:t>
      </w:r>
      <w:r w:rsidRPr="0039604E">
        <w:rPr>
          <w:rFonts w:ascii="Times New Roman" w:hAnsi="Times New Roman" w:cs="Times New Roman"/>
          <w:noProof/>
          <w:sz w:val="24"/>
          <w:szCs w:val="24"/>
        </w:rPr>
        <w:t xml:space="preserve">umber </w:t>
      </w:r>
      <w:r w:rsidR="0039604E" w:rsidRPr="002E1F3A">
        <w:rPr>
          <w:rFonts w:ascii="Times New Roman" w:hAnsi="Times New Roman" w:cs="Times New Roman"/>
          <w:sz w:val="24"/>
          <w:szCs w:val="24"/>
        </w:rPr>
        <w:t xml:space="preserve">of unique months </w:t>
      </w:r>
      <w:r w:rsidR="0039604E" w:rsidRPr="002E1F3A">
        <w:rPr>
          <w:rFonts w:ascii="Times New Roman" w:hAnsi="Times New Roman" w:cs="Times New Roman"/>
          <w:noProof/>
          <w:sz w:val="24"/>
          <w:szCs w:val="24"/>
        </w:rPr>
        <w:t xml:space="preserve">with </w:t>
      </w:r>
      <w:r w:rsidR="0039604E" w:rsidRPr="002E1F3A">
        <w:rPr>
          <w:rFonts w:ascii="Times New Roman" w:hAnsi="Times New Roman" w:cs="Times New Roman"/>
          <w:i/>
          <w:noProof/>
          <w:sz w:val="24"/>
          <w:szCs w:val="24"/>
        </w:rPr>
        <w:t>f</w:t>
      </w:r>
      <w:r w:rsidR="0039604E" w:rsidRPr="002E1F3A">
        <w:rPr>
          <w:rFonts w:ascii="Times New Roman" w:hAnsi="Times New Roman" w:cs="Times New Roman"/>
          <w:noProof/>
          <w:sz w:val="24"/>
          <w:szCs w:val="24"/>
        </w:rPr>
        <w:t>CO</w:t>
      </w:r>
      <w:r w:rsidR="0039604E" w:rsidRPr="002E1F3A">
        <w:rPr>
          <w:rFonts w:ascii="Times New Roman" w:hAnsi="Times New Roman" w:cs="Times New Roman"/>
          <w:noProof/>
          <w:sz w:val="24"/>
          <w:szCs w:val="24"/>
          <w:vertAlign w:val="subscript"/>
        </w:rPr>
        <w:t>2</w:t>
      </w:r>
      <w:r w:rsidR="0039604E" w:rsidRPr="002E1F3A">
        <w:rPr>
          <w:rFonts w:ascii="Times New Roman" w:hAnsi="Times New Roman" w:cs="Times New Roman"/>
          <w:noProof/>
          <w:sz w:val="24"/>
          <w:szCs w:val="24"/>
        </w:rPr>
        <w:t xml:space="preserve"> observations in each </w:t>
      </w:r>
      <w:r w:rsidR="0039604E" w:rsidRPr="002E1F3A">
        <w:rPr>
          <w:rFonts w:ascii="Times New Roman" w:hAnsi="Times New Roman" w:cs="Times New Roman"/>
          <w:sz w:val="24"/>
          <w:szCs w:val="24"/>
        </w:rPr>
        <w:t xml:space="preserve">3°×3° </w:t>
      </w:r>
      <w:r w:rsidR="0039604E" w:rsidRPr="002E1F3A">
        <w:rPr>
          <w:rFonts w:ascii="Times New Roman" w:hAnsi="Times New Roman" w:cs="Times New Roman"/>
          <w:noProof/>
          <w:sz w:val="24"/>
          <w:szCs w:val="24"/>
        </w:rPr>
        <w:t>grid cell</w:t>
      </w:r>
      <w:r w:rsidR="007C6BEE">
        <w:rPr>
          <w:rFonts w:ascii="Times New Roman" w:hAnsi="Times New Roman" w:cs="Times New Roman"/>
          <w:sz w:val="24"/>
          <w:szCs w:val="24"/>
        </w:rPr>
        <w:t xml:space="preserve"> of the SOCAT-V4 </w:t>
      </w:r>
      <w:bookmarkStart w:id="0" w:name="_GoBack"/>
      <w:r w:rsidR="009154DA">
        <w:rPr>
          <w:rFonts w:ascii="Times New Roman" w:hAnsi="Times New Roman" w:cs="Times New Roman"/>
          <w:sz w:val="24"/>
          <w:szCs w:val="24"/>
        </w:rPr>
        <w:t>12-month</w:t>
      </w:r>
      <w:bookmarkEnd w:id="0"/>
      <w:r w:rsidR="0039604E" w:rsidRPr="002E1F3A">
        <w:rPr>
          <w:rFonts w:ascii="Times New Roman" w:hAnsi="Times New Roman" w:cs="Times New Roman"/>
          <w:sz w:val="24"/>
          <w:szCs w:val="24"/>
        </w:rPr>
        <w:t xml:space="preserve"> climatology</w:t>
      </w:r>
      <w:r w:rsidR="00346862" w:rsidRPr="0039604E">
        <w:rPr>
          <w:rFonts w:ascii="Times New Roman" w:hAnsi="Times New Roman" w:cs="Times New Roman"/>
          <w:noProof/>
          <w:sz w:val="24"/>
          <w:szCs w:val="24"/>
        </w:rPr>
        <w:t>.</w:t>
      </w:r>
    </w:p>
    <w:p w14:paraId="0488DBF8" w14:textId="11DD4FE4" w:rsidR="000A7B96" w:rsidRDefault="00241028" w:rsidP="0026273B">
      <w:pPr>
        <w:contextualSpacing/>
      </w:pPr>
      <w:r>
        <w:rPr>
          <w:noProof/>
        </w:rPr>
        <w:lastRenderedPageBreak/>
        <w:drawing>
          <wp:inline distT="0" distB="0" distL="0" distR="0" wp14:anchorId="724EA203" wp14:editId="3E01BF36">
            <wp:extent cx="5943600" cy="3128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S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128010"/>
                    </a:xfrm>
                    <a:prstGeom prst="rect">
                      <a:avLst/>
                    </a:prstGeom>
                  </pic:spPr>
                </pic:pic>
              </a:graphicData>
            </a:graphic>
          </wp:inline>
        </w:drawing>
      </w:r>
    </w:p>
    <w:p w14:paraId="76DDDA41" w14:textId="3B6C15FD" w:rsidR="0084102C" w:rsidRDefault="0026273B" w:rsidP="00AA16BC">
      <w:pPr>
        <w:widowControl w:val="0"/>
        <w:autoSpaceDE w:val="0"/>
        <w:autoSpaceDN w:val="0"/>
        <w:adjustRightInd w:val="0"/>
        <w:jc w:val="both"/>
      </w:pPr>
      <w:r w:rsidRPr="00B10F95">
        <w:rPr>
          <w:b/>
        </w:rPr>
        <w:t>Figure S</w:t>
      </w:r>
      <w:r w:rsidR="007F15AE" w:rsidRPr="00B10F95">
        <w:rPr>
          <w:b/>
        </w:rPr>
        <w:t>3</w:t>
      </w:r>
      <w:r w:rsidRPr="00B10F95">
        <w:rPr>
          <w:b/>
        </w:rPr>
        <w:t>.</w:t>
      </w:r>
      <w:r w:rsidRPr="00B10F95">
        <w:t xml:space="preserve"> </w:t>
      </w:r>
      <w:r w:rsidR="00DA6EA3">
        <w:t>Seasonally averaged</w:t>
      </w:r>
      <w:r w:rsidR="00B10F95" w:rsidRPr="00B10F95">
        <w:t xml:space="preserve"> SOCAT-V4</w:t>
      </w:r>
      <w:r w:rsidRPr="00B10F95">
        <w:t xml:space="preserve"> salinity and temperature climatologies minus </w:t>
      </w:r>
      <w:r w:rsidR="00DA6EA3">
        <w:t>seasonally averaged</w:t>
      </w:r>
      <w:r w:rsidR="00963ED6">
        <w:t xml:space="preserve"> </w:t>
      </w:r>
      <w:r w:rsidRPr="00B10F95">
        <w:t xml:space="preserve">2013 World Ocean Atlas sea surface (0 m) salinity and temperature climatologies </w:t>
      </w:r>
      <w:r w:rsidR="002F365A" w:rsidRPr="00B10F95">
        <w:t>(all decades</w:t>
      </w:r>
      <w:r w:rsidR="008056E2" w:rsidRPr="00B10F95">
        <w:t>, 1°×1° grid</w:t>
      </w:r>
      <w:r w:rsidR="002F365A" w:rsidRPr="00B10F95">
        <w:t xml:space="preserve">) </w:t>
      </w:r>
      <w:r w:rsidR="00963ED6">
        <w:t>for the months of</w:t>
      </w:r>
      <w:r w:rsidRPr="00B10F95">
        <w:t xml:space="preserve"> (</w:t>
      </w:r>
      <w:r w:rsidRPr="00B10F95">
        <w:rPr>
          <w:b/>
        </w:rPr>
        <w:t xml:space="preserve">a, </w:t>
      </w:r>
      <w:r w:rsidR="00716838" w:rsidRPr="00B10F95">
        <w:rPr>
          <w:b/>
        </w:rPr>
        <w:t>b</w:t>
      </w:r>
      <w:r w:rsidRPr="00B10F95">
        <w:t xml:space="preserve">) </w:t>
      </w:r>
      <w:r w:rsidR="002F365A" w:rsidRPr="00B10F95">
        <w:t xml:space="preserve">July, </w:t>
      </w:r>
      <w:r w:rsidR="00716838" w:rsidRPr="00B10F95">
        <w:t>A</w:t>
      </w:r>
      <w:r w:rsidR="002F365A" w:rsidRPr="00B10F95">
        <w:t>ugust, September (JAS)</w:t>
      </w:r>
      <w:r w:rsidRPr="00B10F95">
        <w:t xml:space="preserve"> and (</w:t>
      </w:r>
      <w:r w:rsidR="00716838" w:rsidRPr="00B10F95">
        <w:rPr>
          <w:b/>
        </w:rPr>
        <w:t>c</w:t>
      </w:r>
      <w:r w:rsidRPr="00B10F95">
        <w:rPr>
          <w:b/>
        </w:rPr>
        <w:t>, d</w:t>
      </w:r>
      <w:r w:rsidRPr="00B10F95">
        <w:t xml:space="preserve">) </w:t>
      </w:r>
      <w:r w:rsidR="002F365A" w:rsidRPr="00B10F95">
        <w:t>January</w:t>
      </w:r>
      <w:r w:rsidR="00716838" w:rsidRPr="00B10F95">
        <w:t>, February, March (JFM)</w:t>
      </w:r>
      <w:r w:rsidRPr="00B10F95">
        <w:t>.</w:t>
      </w:r>
      <w:r w:rsidR="0084102C" w:rsidRPr="00B10F95">
        <w:t xml:space="preserve"> </w:t>
      </w:r>
    </w:p>
    <w:p w14:paraId="285C38C7" w14:textId="3121B3B8" w:rsidR="0026273B" w:rsidRPr="00B10F95" w:rsidRDefault="0026273B" w:rsidP="00B10F95">
      <w:pPr>
        <w:contextualSpacing/>
        <w:jc w:val="both"/>
      </w:pPr>
    </w:p>
    <w:p w14:paraId="7DF5791E" w14:textId="77777777" w:rsidR="00E56E3C" w:rsidRDefault="00E56E3C" w:rsidP="003F20FE">
      <w:pPr>
        <w:pStyle w:val="ListParagraph"/>
        <w:spacing w:after="0" w:line="240" w:lineRule="auto"/>
        <w:ind w:left="0"/>
        <w:jc w:val="center"/>
        <w:rPr>
          <w:rFonts w:ascii="Times New Roman" w:hAnsi="Times New Roman" w:cs="Times New Roman"/>
          <w:sz w:val="24"/>
          <w:szCs w:val="24"/>
        </w:rPr>
      </w:pPr>
    </w:p>
    <w:p w14:paraId="0262AEBB" w14:textId="468B671E" w:rsidR="003F20FE" w:rsidRDefault="00241028" w:rsidP="003F20F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C8D2AE" wp14:editId="2E09BC59">
            <wp:extent cx="5943600" cy="2178685"/>
            <wp:effectExtent l="0" t="0" r="0" b="5715"/>
            <wp:docPr id="7" name="Picture 7" descr="/Users/andreafassbender/Desktop/Figure_S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dreafassbender/Desktop/Figure_S4.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178685"/>
                    </a:xfrm>
                    <a:prstGeom prst="rect">
                      <a:avLst/>
                    </a:prstGeom>
                    <a:noFill/>
                    <a:ln>
                      <a:noFill/>
                    </a:ln>
                  </pic:spPr>
                </pic:pic>
              </a:graphicData>
            </a:graphic>
          </wp:inline>
        </w:drawing>
      </w:r>
    </w:p>
    <w:p w14:paraId="7A660102" w14:textId="6125DD0D" w:rsidR="00A373CA" w:rsidRPr="00961F82" w:rsidRDefault="003F20FE" w:rsidP="00961F82">
      <w:pPr>
        <w:pStyle w:val="ListParagraph"/>
        <w:spacing w:after="0" w:line="240" w:lineRule="auto"/>
        <w:ind w:left="0"/>
        <w:jc w:val="both"/>
        <w:rPr>
          <w:rFonts w:ascii="Times New Roman" w:hAnsi="Times New Roman" w:cs="Times New Roman"/>
          <w:color w:val="000000" w:themeColor="text1"/>
          <w:sz w:val="24"/>
          <w:szCs w:val="24"/>
        </w:rPr>
      </w:pPr>
      <w:r w:rsidRPr="007D6D06">
        <w:rPr>
          <w:rFonts w:ascii="Times New Roman" w:hAnsi="Times New Roman" w:cs="Times New Roman"/>
          <w:b/>
          <w:color w:val="000000" w:themeColor="text1"/>
          <w:sz w:val="24"/>
          <w:szCs w:val="24"/>
        </w:rPr>
        <w:t xml:space="preserve">Figure </w:t>
      </w:r>
      <w:r>
        <w:rPr>
          <w:rFonts w:ascii="Times New Roman" w:hAnsi="Times New Roman" w:cs="Times New Roman"/>
          <w:b/>
          <w:color w:val="000000" w:themeColor="text1"/>
          <w:sz w:val="24"/>
          <w:szCs w:val="24"/>
        </w:rPr>
        <w:t>S</w:t>
      </w:r>
      <w:r w:rsidR="00FD1691">
        <w:rPr>
          <w:rFonts w:ascii="Times New Roman" w:hAnsi="Times New Roman" w:cs="Times New Roman"/>
          <w:b/>
          <w:color w:val="000000" w:themeColor="text1"/>
          <w:sz w:val="24"/>
          <w:szCs w:val="24"/>
        </w:rPr>
        <w:t>4</w:t>
      </w:r>
      <w:r w:rsidRPr="007D6D06">
        <w:rPr>
          <w:rFonts w:ascii="Times New Roman" w:hAnsi="Times New Roman" w:cs="Times New Roman"/>
          <w:color w:val="000000" w:themeColor="text1"/>
          <w:sz w:val="24"/>
          <w:szCs w:val="24"/>
        </w:rPr>
        <w:t>. (</w:t>
      </w:r>
      <w:r w:rsidRPr="007D6D06">
        <w:rPr>
          <w:rFonts w:ascii="Times New Roman" w:hAnsi="Times New Roman" w:cs="Times New Roman"/>
          <w:b/>
          <w:color w:val="000000" w:themeColor="text1"/>
          <w:sz w:val="24"/>
          <w:szCs w:val="24"/>
        </w:rPr>
        <w:t>a</w:t>
      </w:r>
      <w:r>
        <w:rPr>
          <w:rFonts w:ascii="Times New Roman" w:hAnsi="Times New Roman" w:cs="Times New Roman"/>
          <w:color w:val="000000" w:themeColor="text1"/>
          <w:sz w:val="24"/>
          <w:szCs w:val="24"/>
        </w:rPr>
        <w:t>)</w:t>
      </w:r>
      <w:r w:rsidRPr="005D29C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Trends</w:t>
      </w:r>
      <w:r w:rsidRPr="005D29C6">
        <w:rPr>
          <w:rFonts w:ascii="Times New Roman" w:hAnsi="Times New Roman" w:cs="Times New Roman"/>
          <w:color w:val="000000" w:themeColor="text1"/>
          <w:sz w:val="24"/>
          <w:szCs w:val="24"/>
        </w:rPr>
        <w:t xml:space="preserve"> in </w:t>
      </w:r>
      <w:r>
        <w:rPr>
          <w:rFonts w:ascii="Times New Roman" w:hAnsi="Times New Roman" w:cs="Times New Roman"/>
          <w:color w:val="000000" w:themeColor="text1"/>
          <w:sz w:val="24"/>
          <w:szCs w:val="24"/>
        </w:rPr>
        <w:t xml:space="preserve">sea surface </w:t>
      </w:r>
      <w:r w:rsidRPr="005D29C6">
        <w:rPr>
          <w:rFonts w:ascii="Times New Roman" w:hAnsi="Times New Roman" w:cs="Times New Roman"/>
          <w:color w:val="000000" w:themeColor="text1"/>
          <w:sz w:val="24"/>
          <w:szCs w:val="24"/>
        </w:rPr>
        <w:t>pH and [H</w:t>
      </w:r>
      <w:r w:rsidRPr="00356724">
        <w:rPr>
          <w:rFonts w:ascii="Times New Roman" w:hAnsi="Times New Roman" w:cs="Times New Roman"/>
          <w:color w:val="000000" w:themeColor="text1"/>
          <w:sz w:val="24"/>
          <w:szCs w:val="24"/>
          <w:vertAlign w:val="superscript"/>
        </w:rPr>
        <w:t>+</w:t>
      </w:r>
      <w:r w:rsidRPr="005D29C6">
        <w:rPr>
          <w:rFonts w:ascii="Times New Roman" w:hAnsi="Times New Roman" w:cs="Times New Roman"/>
          <w:color w:val="000000" w:themeColor="text1"/>
          <w:sz w:val="24"/>
          <w:szCs w:val="24"/>
        </w:rPr>
        <w:t>]</w:t>
      </w:r>
      <w:r w:rsidRPr="00E95DA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and the (</w:t>
      </w:r>
      <w:r w:rsidRPr="00916B90">
        <w:rPr>
          <w:rFonts w:ascii="Times New Roman" w:hAnsi="Times New Roman" w:cs="Times New Roman"/>
          <w:b/>
          <w:color w:val="000000" w:themeColor="text1"/>
          <w:sz w:val="24"/>
          <w:szCs w:val="24"/>
        </w:rPr>
        <w:t>b</w:t>
      </w:r>
      <w:r>
        <w:rPr>
          <w:rFonts w:ascii="Times New Roman" w:hAnsi="Times New Roman" w:cs="Times New Roman"/>
          <w:color w:val="000000" w:themeColor="text1"/>
          <w:sz w:val="24"/>
          <w:szCs w:val="24"/>
        </w:rPr>
        <w:t xml:space="preserve">) relative changes in pH and </w:t>
      </w:r>
      <w:r w:rsidRPr="005D29C6">
        <w:rPr>
          <w:rFonts w:ascii="Times New Roman" w:hAnsi="Times New Roman" w:cs="Times New Roman"/>
          <w:color w:val="000000" w:themeColor="text1"/>
          <w:sz w:val="24"/>
          <w:szCs w:val="24"/>
        </w:rPr>
        <w:t>[H</w:t>
      </w:r>
      <w:r w:rsidRPr="00356724">
        <w:rPr>
          <w:rFonts w:ascii="Times New Roman" w:hAnsi="Times New Roman" w:cs="Times New Roman"/>
          <w:color w:val="000000" w:themeColor="text1"/>
          <w:sz w:val="24"/>
          <w:szCs w:val="24"/>
          <w:vertAlign w:val="superscript"/>
        </w:rPr>
        <w:t>+</w:t>
      </w:r>
      <w:r w:rsidRPr="005D29C6">
        <w:rPr>
          <w:rFonts w:ascii="Times New Roman" w:hAnsi="Times New Roman" w:cs="Times New Roman"/>
          <w:color w:val="000000" w:themeColor="text1"/>
          <w:sz w:val="24"/>
          <w:szCs w:val="24"/>
        </w:rPr>
        <w:t>]</w:t>
      </w:r>
      <w:r w:rsidRPr="00E95DA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for</w:t>
      </w:r>
      <w:r w:rsidRPr="005D29C6">
        <w:rPr>
          <w:rFonts w:ascii="Times New Roman" w:hAnsi="Times New Roman" w:cs="Times New Roman"/>
          <w:color w:val="000000" w:themeColor="text1"/>
          <w:sz w:val="24"/>
          <w:szCs w:val="24"/>
        </w:rPr>
        <w:t xml:space="preserve"> two </w:t>
      </w:r>
      <w:r>
        <w:rPr>
          <w:rFonts w:ascii="Times New Roman" w:hAnsi="Times New Roman" w:cs="Times New Roman"/>
          <w:color w:val="000000" w:themeColor="text1"/>
          <w:sz w:val="24"/>
          <w:szCs w:val="24"/>
        </w:rPr>
        <w:t>hypothetical locations assuming a</w:t>
      </w:r>
      <w:r w:rsidRPr="005D29C6">
        <w:rPr>
          <w:rFonts w:ascii="Times New Roman" w:hAnsi="Times New Roman" w:cs="Times New Roman"/>
          <w:color w:val="000000" w:themeColor="text1"/>
          <w:sz w:val="24"/>
          <w:szCs w:val="24"/>
        </w:rPr>
        <w:t xml:space="preserve"> 1.5 µatm</w:t>
      </w:r>
      <w:r>
        <w:rPr>
          <w:rFonts w:ascii="Times New Roman" w:hAnsi="Times New Roman" w:cs="Times New Roman"/>
          <w:color w:val="000000" w:themeColor="text1"/>
          <w:sz w:val="24"/>
          <w:szCs w:val="24"/>
        </w:rPr>
        <w:t xml:space="preserve"> yr</w:t>
      </w:r>
      <w:r w:rsidRPr="00356724">
        <w:rPr>
          <w:rFonts w:ascii="Times New Roman" w:hAnsi="Times New Roman" w:cs="Times New Roman"/>
          <w:color w:val="000000" w:themeColor="text1"/>
          <w:sz w:val="24"/>
          <w:szCs w:val="24"/>
          <w:vertAlign w:val="superscript"/>
        </w:rPr>
        <w:t>-1</w:t>
      </w:r>
      <w:r w:rsidRPr="005D29C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sea surface </w:t>
      </w:r>
      <w:r w:rsidRPr="00BA6C04">
        <w:rPr>
          <w:rFonts w:ascii="Times New Roman" w:hAnsi="Times New Roman" w:cs="Times New Roman"/>
          <w:i/>
          <w:sz w:val="24"/>
          <w:szCs w:val="24"/>
        </w:rPr>
        <w:t>p</w:t>
      </w:r>
      <w:r>
        <w:rPr>
          <w:rFonts w:ascii="Times New Roman" w:hAnsi="Times New Roman" w:cs="Times New Roman"/>
          <w:sz w:val="24"/>
          <w:szCs w:val="24"/>
        </w:rPr>
        <w:t>CO</w:t>
      </w:r>
      <w:r w:rsidRPr="00A70723">
        <w:rPr>
          <w:rFonts w:ascii="Times New Roman" w:hAnsi="Times New Roman" w:cs="Times New Roman"/>
          <w:sz w:val="24"/>
          <w:szCs w:val="24"/>
          <w:vertAlign w:val="subscript"/>
        </w:rPr>
        <w:t>2</w:t>
      </w:r>
      <w:r w:rsidRPr="005D29C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trend over 50 years, constant TA (A=1900</w:t>
      </w:r>
      <w:r w:rsidR="00911C92">
        <w:rPr>
          <w:rFonts w:ascii="Times New Roman" w:hAnsi="Times New Roman" w:cs="Times New Roman"/>
          <w:color w:val="000000" w:themeColor="text1"/>
          <w:sz w:val="24"/>
          <w:szCs w:val="24"/>
        </w:rPr>
        <w:t xml:space="preserve"> </w:t>
      </w:r>
      <w:r w:rsidR="00911C92" w:rsidRPr="00C579C0">
        <w:rPr>
          <w:rFonts w:ascii="Times New Roman" w:hAnsi="Times New Roman" w:cs="Times New Roman"/>
          <w:sz w:val="24"/>
          <w:szCs w:val="24"/>
        </w:rPr>
        <w:t>µ</w:t>
      </w:r>
      <w:r w:rsidR="00911C92">
        <w:rPr>
          <w:rFonts w:ascii="Times New Roman" w:hAnsi="Times New Roman" w:cs="Times New Roman"/>
          <w:color w:val="000000" w:themeColor="text1"/>
          <w:sz w:val="24"/>
          <w:szCs w:val="24"/>
        </w:rPr>
        <w:t>mol kg</w:t>
      </w:r>
      <w:r w:rsidR="00911C92" w:rsidRPr="00CD3884">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xml:space="preserve">; B=2400 </w:t>
      </w:r>
      <w:r w:rsidRPr="00C579C0">
        <w:rPr>
          <w:rFonts w:ascii="Times New Roman" w:hAnsi="Times New Roman" w:cs="Times New Roman"/>
          <w:sz w:val="24"/>
          <w:szCs w:val="24"/>
        </w:rPr>
        <w:t>µ</w:t>
      </w:r>
      <w:r>
        <w:rPr>
          <w:rFonts w:ascii="Times New Roman" w:hAnsi="Times New Roman" w:cs="Times New Roman"/>
          <w:color w:val="000000" w:themeColor="text1"/>
          <w:sz w:val="24"/>
          <w:szCs w:val="24"/>
        </w:rPr>
        <w:t>mol kg</w:t>
      </w:r>
      <w:r w:rsidRPr="00CD3884">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salinity (35), and temperature (18</w:t>
      </w:r>
      <w:r w:rsidR="00911C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sym w:font="Symbol" w:char="F0B0"/>
      </w:r>
      <w:r>
        <w:rPr>
          <w:rFonts w:ascii="Times New Roman" w:hAnsi="Times New Roman" w:cs="Times New Roman"/>
          <w:color w:val="000000" w:themeColor="text1"/>
          <w:sz w:val="24"/>
          <w:szCs w:val="24"/>
        </w:rPr>
        <w:t xml:space="preserve">C), and starting </w:t>
      </w:r>
      <w:r w:rsidRPr="00BA6C04">
        <w:rPr>
          <w:rFonts w:ascii="Times New Roman" w:hAnsi="Times New Roman" w:cs="Times New Roman"/>
          <w:i/>
          <w:sz w:val="24"/>
          <w:szCs w:val="24"/>
        </w:rPr>
        <w:t>p</w:t>
      </w:r>
      <w:r>
        <w:rPr>
          <w:rFonts w:ascii="Times New Roman" w:hAnsi="Times New Roman" w:cs="Times New Roman"/>
          <w:sz w:val="24"/>
          <w:szCs w:val="24"/>
        </w:rPr>
        <w:t>CO</w:t>
      </w:r>
      <w:r w:rsidRPr="00A70723">
        <w:rPr>
          <w:rFonts w:ascii="Times New Roman" w:hAnsi="Times New Roman" w:cs="Times New Roman"/>
          <w:sz w:val="24"/>
          <w:szCs w:val="24"/>
          <w:vertAlign w:val="subscript"/>
        </w:rPr>
        <w:t>2</w:t>
      </w:r>
      <w:r>
        <w:rPr>
          <w:rFonts w:ascii="Times New Roman" w:hAnsi="Times New Roman" w:cs="Times New Roman"/>
          <w:color w:val="000000" w:themeColor="text1"/>
          <w:sz w:val="24"/>
          <w:szCs w:val="24"/>
        </w:rPr>
        <w:t xml:space="preserve"> values of 390 </w:t>
      </w:r>
      <w:r w:rsidRPr="005D29C6">
        <w:rPr>
          <w:rFonts w:ascii="Times New Roman" w:hAnsi="Times New Roman" w:cs="Times New Roman"/>
          <w:color w:val="000000" w:themeColor="text1"/>
          <w:sz w:val="24"/>
          <w:szCs w:val="24"/>
        </w:rPr>
        <w:t>µatm</w:t>
      </w:r>
      <w:r>
        <w:rPr>
          <w:rFonts w:ascii="Times New Roman" w:hAnsi="Times New Roman" w:cs="Times New Roman"/>
          <w:color w:val="000000" w:themeColor="text1"/>
          <w:sz w:val="24"/>
          <w:szCs w:val="24"/>
        </w:rPr>
        <w:t xml:space="preserve"> at each location</w:t>
      </w:r>
      <w:r w:rsidRPr="005D29C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The locations exhibit nearly identical pH trends of -0.0013 yr</w:t>
      </w:r>
      <w:r w:rsidRPr="004A5271">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xml:space="preserve">; however, the resulting </w:t>
      </w:r>
      <w:r w:rsidRPr="005D29C6">
        <w:rPr>
          <w:rFonts w:ascii="Times New Roman" w:hAnsi="Times New Roman" w:cs="Times New Roman"/>
          <w:color w:val="000000" w:themeColor="text1"/>
          <w:sz w:val="24"/>
          <w:szCs w:val="24"/>
        </w:rPr>
        <w:t>[H</w:t>
      </w:r>
      <w:r w:rsidRPr="00356724">
        <w:rPr>
          <w:rFonts w:ascii="Times New Roman" w:hAnsi="Times New Roman" w:cs="Times New Roman"/>
          <w:color w:val="000000" w:themeColor="text1"/>
          <w:sz w:val="24"/>
          <w:szCs w:val="24"/>
          <w:vertAlign w:val="superscript"/>
        </w:rPr>
        <w:t>+</w:t>
      </w:r>
      <w:r w:rsidRPr="005D29C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changes differ by ~25%.</w:t>
      </w:r>
    </w:p>
    <w:sectPr w:rsidR="00A373CA" w:rsidRPr="00961F82" w:rsidSect="008254E8">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C86105" w14:textId="77777777" w:rsidR="000807DB" w:rsidRDefault="000807DB" w:rsidP="002F0C32">
      <w:r>
        <w:separator/>
      </w:r>
    </w:p>
  </w:endnote>
  <w:endnote w:type="continuationSeparator" w:id="0">
    <w:p w14:paraId="24319116" w14:textId="77777777" w:rsidR="000807DB" w:rsidRDefault="000807DB" w:rsidP="002F0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mes new">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4558F" w14:textId="77777777" w:rsidR="00382FA5" w:rsidRDefault="00382FA5" w:rsidP="00BA214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B1C736" w14:textId="77777777" w:rsidR="00382FA5" w:rsidRDefault="00382FA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9C5D0" w14:textId="2460B765" w:rsidR="00382FA5" w:rsidRDefault="00382FA5" w:rsidP="00382FA5">
    <w:pPr>
      <w:pStyle w:val="Footer"/>
      <w:framePr w:wrap="none" w:vAnchor="text" w:hAnchor="page" w:x="6022" w:y="-75"/>
      <w:rPr>
        <w:rStyle w:val="PageNumber"/>
      </w:rPr>
    </w:pPr>
    <w:r>
      <w:rPr>
        <w:rStyle w:val="PageNumber"/>
      </w:rPr>
      <w:fldChar w:fldCharType="begin"/>
    </w:r>
    <w:r>
      <w:rPr>
        <w:rStyle w:val="PageNumber"/>
      </w:rPr>
      <w:instrText xml:space="preserve">PAGE  </w:instrText>
    </w:r>
    <w:r>
      <w:rPr>
        <w:rStyle w:val="PageNumber"/>
      </w:rPr>
      <w:fldChar w:fldCharType="separate"/>
    </w:r>
    <w:r w:rsidR="006F39BA">
      <w:rPr>
        <w:rStyle w:val="PageNumber"/>
        <w:noProof/>
      </w:rPr>
      <w:t>5</w:t>
    </w:r>
    <w:r>
      <w:rPr>
        <w:rStyle w:val="PageNumber"/>
      </w:rPr>
      <w:fldChar w:fldCharType="end"/>
    </w:r>
  </w:p>
  <w:p w14:paraId="7FE9F71B" w14:textId="77777777" w:rsidR="00382FA5" w:rsidRDefault="00382FA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0DE44" w14:textId="77777777" w:rsidR="000807DB" w:rsidRDefault="000807DB" w:rsidP="002F0C32">
      <w:r>
        <w:separator/>
      </w:r>
    </w:p>
  </w:footnote>
  <w:footnote w:type="continuationSeparator" w:id="0">
    <w:p w14:paraId="72371481" w14:textId="77777777" w:rsidR="000807DB" w:rsidRDefault="000807DB" w:rsidP="002F0C3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584C39"/>
    <w:multiLevelType w:val="hybridMultilevel"/>
    <w:tmpl w:val="E77E4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5140A75"/>
    <w:multiLevelType w:val="hybridMultilevel"/>
    <w:tmpl w:val="EBF25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CD542CE"/>
    <w:multiLevelType w:val="hybridMultilevel"/>
    <w:tmpl w:val="DD6E5DF6"/>
    <w:lvl w:ilvl="0" w:tplc="04090001">
      <w:start w:val="1"/>
      <w:numFmt w:val="bullet"/>
      <w:lvlText w:val=""/>
      <w:lvlJc w:val="left"/>
      <w:pPr>
        <w:ind w:left="378" w:hanging="360"/>
      </w:pPr>
      <w:rPr>
        <w:rFonts w:ascii="Symbol" w:hAnsi="Symbol" w:hint="default"/>
      </w:rPr>
    </w:lvl>
    <w:lvl w:ilvl="1" w:tplc="04090003">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73B"/>
    <w:rsid w:val="00000BD7"/>
    <w:rsid w:val="000041BA"/>
    <w:rsid w:val="000134A9"/>
    <w:rsid w:val="00017277"/>
    <w:rsid w:val="0004159F"/>
    <w:rsid w:val="00054E1B"/>
    <w:rsid w:val="000807DB"/>
    <w:rsid w:val="00092582"/>
    <w:rsid w:val="00096292"/>
    <w:rsid w:val="000A4967"/>
    <w:rsid w:val="000A7B96"/>
    <w:rsid w:val="000B056B"/>
    <w:rsid w:val="000B2792"/>
    <w:rsid w:val="000D077D"/>
    <w:rsid w:val="000D1C63"/>
    <w:rsid w:val="000D5553"/>
    <w:rsid w:val="000E3290"/>
    <w:rsid w:val="00112302"/>
    <w:rsid w:val="00125366"/>
    <w:rsid w:val="00147508"/>
    <w:rsid w:val="0016290D"/>
    <w:rsid w:val="00165B7E"/>
    <w:rsid w:val="001743E0"/>
    <w:rsid w:val="001A00C5"/>
    <w:rsid w:val="001A09A5"/>
    <w:rsid w:val="001A7555"/>
    <w:rsid w:val="001B1F76"/>
    <w:rsid w:val="001C7163"/>
    <w:rsid w:val="001D72B0"/>
    <w:rsid w:val="001D7E08"/>
    <w:rsid w:val="001E4261"/>
    <w:rsid w:val="001E6A04"/>
    <w:rsid w:val="00216336"/>
    <w:rsid w:val="002266DB"/>
    <w:rsid w:val="00236674"/>
    <w:rsid w:val="00236676"/>
    <w:rsid w:val="00241028"/>
    <w:rsid w:val="00243A5E"/>
    <w:rsid w:val="00246FBE"/>
    <w:rsid w:val="00250705"/>
    <w:rsid w:val="002560F0"/>
    <w:rsid w:val="0026273B"/>
    <w:rsid w:val="00266EDE"/>
    <w:rsid w:val="00273200"/>
    <w:rsid w:val="002751B7"/>
    <w:rsid w:val="00283CD1"/>
    <w:rsid w:val="00293286"/>
    <w:rsid w:val="002A0CFE"/>
    <w:rsid w:val="002A2B37"/>
    <w:rsid w:val="002B382D"/>
    <w:rsid w:val="002B6ECB"/>
    <w:rsid w:val="002D10F4"/>
    <w:rsid w:val="002D1331"/>
    <w:rsid w:val="002D3BD0"/>
    <w:rsid w:val="002E1CC9"/>
    <w:rsid w:val="002E1F3A"/>
    <w:rsid w:val="002F0C32"/>
    <w:rsid w:val="002F2720"/>
    <w:rsid w:val="002F365A"/>
    <w:rsid w:val="003174F9"/>
    <w:rsid w:val="00322162"/>
    <w:rsid w:val="00322E07"/>
    <w:rsid w:val="003256EF"/>
    <w:rsid w:val="0032737A"/>
    <w:rsid w:val="00335DC3"/>
    <w:rsid w:val="00346862"/>
    <w:rsid w:val="00352A14"/>
    <w:rsid w:val="00357638"/>
    <w:rsid w:val="00371CD8"/>
    <w:rsid w:val="00374E12"/>
    <w:rsid w:val="00382FA5"/>
    <w:rsid w:val="00394ADF"/>
    <w:rsid w:val="0039604E"/>
    <w:rsid w:val="003B0218"/>
    <w:rsid w:val="003B6635"/>
    <w:rsid w:val="003C27C0"/>
    <w:rsid w:val="003E10EF"/>
    <w:rsid w:val="003E45AD"/>
    <w:rsid w:val="003F20FE"/>
    <w:rsid w:val="004049D3"/>
    <w:rsid w:val="00410ADA"/>
    <w:rsid w:val="004245B2"/>
    <w:rsid w:val="00440042"/>
    <w:rsid w:val="00441602"/>
    <w:rsid w:val="0044497B"/>
    <w:rsid w:val="00450742"/>
    <w:rsid w:val="004629D1"/>
    <w:rsid w:val="00465360"/>
    <w:rsid w:val="00465B90"/>
    <w:rsid w:val="00467999"/>
    <w:rsid w:val="00473255"/>
    <w:rsid w:val="00473388"/>
    <w:rsid w:val="004750A4"/>
    <w:rsid w:val="004838D6"/>
    <w:rsid w:val="00484396"/>
    <w:rsid w:val="004852D3"/>
    <w:rsid w:val="004A6B0C"/>
    <w:rsid w:val="004D507D"/>
    <w:rsid w:val="004D77E4"/>
    <w:rsid w:val="004F5F8E"/>
    <w:rsid w:val="004F7F5E"/>
    <w:rsid w:val="005073AE"/>
    <w:rsid w:val="00544B45"/>
    <w:rsid w:val="005508CF"/>
    <w:rsid w:val="00560357"/>
    <w:rsid w:val="005816E5"/>
    <w:rsid w:val="005862AB"/>
    <w:rsid w:val="00591E4D"/>
    <w:rsid w:val="005A6479"/>
    <w:rsid w:val="005B4BBB"/>
    <w:rsid w:val="005D7A9C"/>
    <w:rsid w:val="005F4293"/>
    <w:rsid w:val="005F5811"/>
    <w:rsid w:val="00600249"/>
    <w:rsid w:val="006120AE"/>
    <w:rsid w:val="00620A95"/>
    <w:rsid w:val="00623BE1"/>
    <w:rsid w:val="00635C70"/>
    <w:rsid w:val="00646771"/>
    <w:rsid w:val="006738B2"/>
    <w:rsid w:val="00690B35"/>
    <w:rsid w:val="006923D7"/>
    <w:rsid w:val="00696616"/>
    <w:rsid w:val="006A1DD5"/>
    <w:rsid w:val="006B19BF"/>
    <w:rsid w:val="006B6BC4"/>
    <w:rsid w:val="006C4DC7"/>
    <w:rsid w:val="006D3243"/>
    <w:rsid w:val="006F1CDD"/>
    <w:rsid w:val="006F328E"/>
    <w:rsid w:val="006F39BA"/>
    <w:rsid w:val="00716838"/>
    <w:rsid w:val="00716F52"/>
    <w:rsid w:val="00732F2A"/>
    <w:rsid w:val="00737260"/>
    <w:rsid w:val="00745123"/>
    <w:rsid w:val="00750E2C"/>
    <w:rsid w:val="0075204A"/>
    <w:rsid w:val="00755DBA"/>
    <w:rsid w:val="00760237"/>
    <w:rsid w:val="00766FD0"/>
    <w:rsid w:val="007B25C1"/>
    <w:rsid w:val="007C6BEE"/>
    <w:rsid w:val="007D59E2"/>
    <w:rsid w:val="007E5E96"/>
    <w:rsid w:val="007F15AE"/>
    <w:rsid w:val="007F3291"/>
    <w:rsid w:val="008056E2"/>
    <w:rsid w:val="008254E8"/>
    <w:rsid w:val="008279A9"/>
    <w:rsid w:val="00836C73"/>
    <w:rsid w:val="0084102C"/>
    <w:rsid w:val="0084260D"/>
    <w:rsid w:val="0085684E"/>
    <w:rsid w:val="00862D1B"/>
    <w:rsid w:val="00865466"/>
    <w:rsid w:val="00865807"/>
    <w:rsid w:val="008845D2"/>
    <w:rsid w:val="00886A1D"/>
    <w:rsid w:val="008962BB"/>
    <w:rsid w:val="00897393"/>
    <w:rsid w:val="008B3A1F"/>
    <w:rsid w:val="008B7F8F"/>
    <w:rsid w:val="008D271F"/>
    <w:rsid w:val="008D2B21"/>
    <w:rsid w:val="008D5DEF"/>
    <w:rsid w:val="009110DA"/>
    <w:rsid w:val="00911C92"/>
    <w:rsid w:val="009154DA"/>
    <w:rsid w:val="00927307"/>
    <w:rsid w:val="00927D15"/>
    <w:rsid w:val="009328A3"/>
    <w:rsid w:val="00936DBE"/>
    <w:rsid w:val="00961F82"/>
    <w:rsid w:val="00963ED6"/>
    <w:rsid w:val="00972449"/>
    <w:rsid w:val="0097267F"/>
    <w:rsid w:val="00994FC1"/>
    <w:rsid w:val="00995A97"/>
    <w:rsid w:val="009B119F"/>
    <w:rsid w:val="009B6906"/>
    <w:rsid w:val="009C6F15"/>
    <w:rsid w:val="009D396C"/>
    <w:rsid w:val="009D44C0"/>
    <w:rsid w:val="009E4444"/>
    <w:rsid w:val="009F02A0"/>
    <w:rsid w:val="009F21DC"/>
    <w:rsid w:val="009F4549"/>
    <w:rsid w:val="00A05E1D"/>
    <w:rsid w:val="00A1236A"/>
    <w:rsid w:val="00A16AD3"/>
    <w:rsid w:val="00A259BB"/>
    <w:rsid w:val="00A373CA"/>
    <w:rsid w:val="00A37D98"/>
    <w:rsid w:val="00A40C35"/>
    <w:rsid w:val="00A47FB4"/>
    <w:rsid w:val="00A57688"/>
    <w:rsid w:val="00A70832"/>
    <w:rsid w:val="00A80704"/>
    <w:rsid w:val="00AA16BC"/>
    <w:rsid w:val="00AA4206"/>
    <w:rsid w:val="00AB3E09"/>
    <w:rsid w:val="00AB602E"/>
    <w:rsid w:val="00AB7953"/>
    <w:rsid w:val="00AC4BEB"/>
    <w:rsid w:val="00AD08FD"/>
    <w:rsid w:val="00AF33D4"/>
    <w:rsid w:val="00AF6734"/>
    <w:rsid w:val="00B0080B"/>
    <w:rsid w:val="00B10F95"/>
    <w:rsid w:val="00B14B12"/>
    <w:rsid w:val="00B25E39"/>
    <w:rsid w:val="00B31ECD"/>
    <w:rsid w:val="00B5301C"/>
    <w:rsid w:val="00B53759"/>
    <w:rsid w:val="00B61F57"/>
    <w:rsid w:val="00B71AE4"/>
    <w:rsid w:val="00B76B53"/>
    <w:rsid w:val="00BA2145"/>
    <w:rsid w:val="00BA26F5"/>
    <w:rsid w:val="00BB0BB4"/>
    <w:rsid w:val="00BB18AD"/>
    <w:rsid w:val="00BB339D"/>
    <w:rsid w:val="00BB379B"/>
    <w:rsid w:val="00BB5F8F"/>
    <w:rsid w:val="00BC2C7B"/>
    <w:rsid w:val="00BD2BE0"/>
    <w:rsid w:val="00BD3A3C"/>
    <w:rsid w:val="00BF70F5"/>
    <w:rsid w:val="00C0583C"/>
    <w:rsid w:val="00C06A02"/>
    <w:rsid w:val="00C16CAC"/>
    <w:rsid w:val="00C229AD"/>
    <w:rsid w:val="00C22B77"/>
    <w:rsid w:val="00C233B1"/>
    <w:rsid w:val="00C34AC3"/>
    <w:rsid w:val="00C82014"/>
    <w:rsid w:val="00C82196"/>
    <w:rsid w:val="00C821B8"/>
    <w:rsid w:val="00C840A5"/>
    <w:rsid w:val="00C858A6"/>
    <w:rsid w:val="00C93E0B"/>
    <w:rsid w:val="00C955B1"/>
    <w:rsid w:val="00CA78D6"/>
    <w:rsid w:val="00CC3C35"/>
    <w:rsid w:val="00CE10D4"/>
    <w:rsid w:val="00CE1F70"/>
    <w:rsid w:val="00CE3CFC"/>
    <w:rsid w:val="00D04387"/>
    <w:rsid w:val="00D15F8B"/>
    <w:rsid w:val="00D21B16"/>
    <w:rsid w:val="00D26C80"/>
    <w:rsid w:val="00D27BAB"/>
    <w:rsid w:val="00D35CE0"/>
    <w:rsid w:val="00D37EC1"/>
    <w:rsid w:val="00D62A15"/>
    <w:rsid w:val="00D652A5"/>
    <w:rsid w:val="00D7073B"/>
    <w:rsid w:val="00D7232D"/>
    <w:rsid w:val="00D84ACF"/>
    <w:rsid w:val="00DA2C5E"/>
    <w:rsid w:val="00DA6EA3"/>
    <w:rsid w:val="00DB0258"/>
    <w:rsid w:val="00DB44A3"/>
    <w:rsid w:val="00DC06D0"/>
    <w:rsid w:val="00DC3BA6"/>
    <w:rsid w:val="00DD0240"/>
    <w:rsid w:val="00DD1058"/>
    <w:rsid w:val="00E01E60"/>
    <w:rsid w:val="00E56E3C"/>
    <w:rsid w:val="00E64963"/>
    <w:rsid w:val="00E75CFB"/>
    <w:rsid w:val="00E84D91"/>
    <w:rsid w:val="00E9059F"/>
    <w:rsid w:val="00E915D8"/>
    <w:rsid w:val="00E935F9"/>
    <w:rsid w:val="00E93DB9"/>
    <w:rsid w:val="00EA3D86"/>
    <w:rsid w:val="00EA5760"/>
    <w:rsid w:val="00EA6C25"/>
    <w:rsid w:val="00EB479E"/>
    <w:rsid w:val="00EC5D64"/>
    <w:rsid w:val="00ED6F70"/>
    <w:rsid w:val="00EF3E21"/>
    <w:rsid w:val="00F0175F"/>
    <w:rsid w:val="00F34BB5"/>
    <w:rsid w:val="00F34D8F"/>
    <w:rsid w:val="00F35804"/>
    <w:rsid w:val="00F40220"/>
    <w:rsid w:val="00F51234"/>
    <w:rsid w:val="00F53A46"/>
    <w:rsid w:val="00F73832"/>
    <w:rsid w:val="00F73B1D"/>
    <w:rsid w:val="00F74CBE"/>
    <w:rsid w:val="00F83D65"/>
    <w:rsid w:val="00F90C4A"/>
    <w:rsid w:val="00F94D50"/>
    <w:rsid w:val="00FB0C74"/>
    <w:rsid w:val="00FD1691"/>
    <w:rsid w:val="00FF3918"/>
    <w:rsid w:val="00FF3C54"/>
    <w:rsid w:val="00FF3CB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C154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6273B"/>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273B"/>
    <w:pPr>
      <w:spacing w:after="160" w:line="259" w:lineRule="auto"/>
      <w:ind w:left="720"/>
      <w:contextualSpacing/>
    </w:pPr>
    <w:rPr>
      <w:rFonts w:asciiTheme="minorHAnsi" w:hAnsiTheme="minorHAnsi" w:cstheme="minorBidi"/>
      <w:sz w:val="22"/>
      <w:szCs w:val="22"/>
    </w:rPr>
  </w:style>
  <w:style w:type="character" w:styleId="CommentReference">
    <w:name w:val="annotation reference"/>
    <w:basedOn w:val="DefaultParagraphFont"/>
    <w:uiPriority w:val="99"/>
    <w:semiHidden/>
    <w:unhideWhenUsed/>
    <w:rsid w:val="0026273B"/>
    <w:rPr>
      <w:sz w:val="16"/>
      <w:szCs w:val="16"/>
    </w:rPr>
  </w:style>
  <w:style w:type="paragraph" w:styleId="CommentText">
    <w:name w:val="annotation text"/>
    <w:basedOn w:val="Normal"/>
    <w:link w:val="CommentTextChar"/>
    <w:uiPriority w:val="99"/>
    <w:unhideWhenUsed/>
    <w:rsid w:val="0026273B"/>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26273B"/>
    <w:rPr>
      <w:sz w:val="20"/>
      <w:szCs w:val="20"/>
    </w:rPr>
  </w:style>
  <w:style w:type="paragraph" w:styleId="BalloonText">
    <w:name w:val="Balloon Text"/>
    <w:basedOn w:val="Normal"/>
    <w:link w:val="BalloonTextChar"/>
    <w:uiPriority w:val="99"/>
    <w:semiHidden/>
    <w:unhideWhenUsed/>
    <w:rsid w:val="0026273B"/>
    <w:rPr>
      <w:sz w:val="18"/>
      <w:szCs w:val="18"/>
    </w:rPr>
  </w:style>
  <w:style w:type="character" w:customStyle="1" w:styleId="BalloonTextChar">
    <w:name w:val="Balloon Text Char"/>
    <w:basedOn w:val="DefaultParagraphFont"/>
    <w:link w:val="BalloonText"/>
    <w:uiPriority w:val="99"/>
    <w:semiHidden/>
    <w:rsid w:val="0026273B"/>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266EDE"/>
    <w:pPr>
      <w:spacing w:after="0"/>
    </w:pPr>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266EDE"/>
    <w:rPr>
      <w:rFonts w:ascii="Times New Roman" w:hAnsi="Times New Roman" w:cs="Times New Roman"/>
      <w:b/>
      <w:bCs/>
      <w:sz w:val="20"/>
      <w:szCs w:val="20"/>
    </w:rPr>
  </w:style>
  <w:style w:type="character" w:styleId="Hyperlink">
    <w:name w:val="Hyperlink"/>
    <w:basedOn w:val="DefaultParagraphFont"/>
    <w:uiPriority w:val="99"/>
    <w:unhideWhenUsed/>
    <w:rsid w:val="00FB0C74"/>
    <w:rPr>
      <w:color w:val="0563C1" w:themeColor="hyperlink"/>
      <w:u w:val="single"/>
    </w:rPr>
  </w:style>
  <w:style w:type="character" w:styleId="FollowedHyperlink">
    <w:name w:val="FollowedHyperlink"/>
    <w:basedOn w:val="DefaultParagraphFont"/>
    <w:uiPriority w:val="99"/>
    <w:semiHidden/>
    <w:unhideWhenUsed/>
    <w:rsid w:val="002F0C32"/>
    <w:rPr>
      <w:color w:val="954F72" w:themeColor="followedHyperlink"/>
      <w:u w:val="single"/>
    </w:rPr>
  </w:style>
  <w:style w:type="paragraph" w:styleId="Header">
    <w:name w:val="header"/>
    <w:basedOn w:val="Normal"/>
    <w:link w:val="HeaderChar"/>
    <w:uiPriority w:val="99"/>
    <w:unhideWhenUsed/>
    <w:rsid w:val="002F0C32"/>
    <w:pPr>
      <w:tabs>
        <w:tab w:val="center" w:pos="4680"/>
        <w:tab w:val="right" w:pos="9360"/>
      </w:tabs>
    </w:pPr>
  </w:style>
  <w:style w:type="character" w:customStyle="1" w:styleId="HeaderChar">
    <w:name w:val="Header Char"/>
    <w:basedOn w:val="DefaultParagraphFont"/>
    <w:link w:val="Header"/>
    <w:uiPriority w:val="99"/>
    <w:rsid w:val="002F0C32"/>
    <w:rPr>
      <w:rFonts w:ascii="Times New Roman" w:hAnsi="Times New Roman" w:cs="Times New Roman"/>
    </w:rPr>
  </w:style>
  <w:style w:type="paragraph" w:styleId="Footer">
    <w:name w:val="footer"/>
    <w:basedOn w:val="Normal"/>
    <w:link w:val="FooterChar"/>
    <w:uiPriority w:val="99"/>
    <w:unhideWhenUsed/>
    <w:rsid w:val="002F0C32"/>
    <w:pPr>
      <w:tabs>
        <w:tab w:val="center" w:pos="4680"/>
        <w:tab w:val="right" w:pos="9360"/>
      </w:tabs>
    </w:pPr>
  </w:style>
  <w:style w:type="character" w:customStyle="1" w:styleId="FooterChar">
    <w:name w:val="Footer Char"/>
    <w:basedOn w:val="DefaultParagraphFont"/>
    <w:link w:val="Footer"/>
    <w:uiPriority w:val="99"/>
    <w:rsid w:val="002F0C32"/>
    <w:rPr>
      <w:rFonts w:ascii="Times New Roman" w:hAnsi="Times New Roman" w:cs="Times New Roman"/>
    </w:rPr>
  </w:style>
  <w:style w:type="character" w:styleId="PageNumber">
    <w:name w:val="page number"/>
    <w:basedOn w:val="DefaultParagraphFont"/>
    <w:uiPriority w:val="99"/>
    <w:semiHidden/>
    <w:unhideWhenUsed/>
    <w:rsid w:val="00382FA5"/>
  </w:style>
  <w:style w:type="character" w:styleId="Strong">
    <w:name w:val="Strong"/>
    <w:uiPriority w:val="22"/>
    <w:qFormat/>
    <w:rsid w:val="00F73B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628806">
      <w:bodyDiv w:val="1"/>
      <w:marLeft w:val="0"/>
      <w:marRight w:val="0"/>
      <w:marTop w:val="0"/>
      <w:marBottom w:val="0"/>
      <w:divBdr>
        <w:top w:val="none" w:sz="0" w:space="0" w:color="auto"/>
        <w:left w:val="none" w:sz="0" w:space="0" w:color="auto"/>
        <w:bottom w:val="none" w:sz="0" w:space="0" w:color="auto"/>
        <w:right w:val="none" w:sz="0" w:space="0" w:color="auto"/>
      </w:divBdr>
    </w:div>
    <w:div w:id="796533773">
      <w:bodyDiv w:val="1"/>
      <w:marLeft w:val="0"/>
      <w:marRight w:val="0"/>
      <w:marTop w:val="0"/>
      <w:marBottom w:val="0"/>
      <w:divBdr>
        <w:top w:val="none" w:sz="0" w:space="0" w:color="auto"/>
        <w:left w:val="none" w:sz="0" w:space="0" w:color="auto"/>
        <w:bottom w:val="none" w:sz="0" w:space="0" w:color="auto"/>
        <w:right w:val="none" w:sz="0" w:space="0" w:color="auto"/>
      </w:divBdr>
    </w:div>
    <w:div w:id="1091703064">
      <w:bodyDiv w:val="1"/>
      <w:marLeft w:val="0"/>
      <w:marRight w:val="0"/>
      <w:marTop w:val="0"/>
      <w:marBottom w:val="0"/>
      <w:divBdr>
        <w:top w:val="none" w:sz="0" w:space="0" w:color="auto"/>
        <w:left w:val="none" w:sz="0" w:space="0" w:color="auto"/>
        <w:bottom w:val="none" w:sz="0" w:space="0" w:color="auto"/>
        <w:right w:val="none" w:sz="0" w:space="0" w:color="auto"/>
      </w:divBdr>
    </w:div>
    <w:div w:id="1180390277">
      <w:bodyDiv w:val="1"/>
      <w:marLeft w:val="0"/>
      <w:marRight w:val="0"/>
      <w:marTop w:val="0"/>
      <w:marBottom w:val="0"/>
      <w:divBdr>
        <w:top w:val="none" w:sz="0" w:space="0" w:color="auto"/>
        <w:left w:val="none" w:sz="0" w:space="0" w:color="auto"/>
        <w:bottom w:val="none" w:sz="0" w:space="0" w:color="auto"/>
        <w:right w:val="none" w:sz="0" w:space="0" w:color="auto"/>
      </w:divBdr>
    </w:div>
    <w:div w:id="12241712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nodc.noaa.gov/OC5/woa13/woa13data.html" TargetMode="External"/><Relationship Id="rId20" Type="http://schemas.openxmlformats.org/officeDocument/2006/relationships/theme" Target="theme/theme1.xml"/><Relationship Id="rId10" Type="http://schemas.openxmlformats.org/officeDocument/2006/relationships/hyperlink" Target="http://bats.bios.edu/" TargetMode="External"/><Relationship Id="rId11" Type="http://schemas.openxmlformats.org/officeDocument/2006/relationships/hyperlink" Target="http://hahana.soest.hawaii.edu/hot/hot-dogs/" TargetMode="External"/><Relationship Id="rId12" Type="http://schemas.openxmlformats.org/officeDocument/2006/relationships/hyperlink" Target="http://www.nodc.noaa.gov/ocads/index.html" TargetMode="External"/><Relationship Id="rId13" Type="http://schemas.openxmlformats.org/officeDocument/2006/relationships/image" Target="media/image2.emf"/><Relationship Id="rId14" Type="http://schemas.openxmlformats.org/officeDocument/2006/relationships/image" Target="media/image3.tiff"/><Relationship Id="rId15" Type="http://schemas.openxmlformats.org/officeDocument/2006/relationships/image" Target="media/image4.tiff"/><Relationship Id="rId16" Type="http://schemas.openxmlformats.org/officeDocument/2006/relationships/image" Target="media/image5.emf"/><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E93B321-48B9-284B-94CA-EE75FEAD7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17451</Words>
  <Characters>99474</Characters>
  <Application>Microsoft Macintosh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Woods Hole Oceanographic Institution</Company>
  <LinksUpToDate>false</LinksUpToDate>
  <CharactersWithSpaces>116692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Fassbender</dc:creator>
  <cp:keywords/>
  <dc:description/>
  <cp:lastModifiedBy>Andrea Fassbender</cp:lastModifiedBy>
  <cp:revision>2</cp:revision>
  <cp:lastPrinted>2017-03-09T17:17:00Z</cp:lastPrinted>
  <dcterms:created xsi:type="dcterms:W3CDTF">2017-08-02T03:42:00Z</dcterms:created>
  <dcterms:modified xsi:type="dcterms:W3CDTF">2017-08-02T03:42:00Z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7826ceb6-35ce-385b-b6da-9bc892430bbf</vt:lpwstr>
  </property>
  <property fmtid="{D5CDD505-2E9C-101B-9397-08002B2CF9AE}" pid="4" name="Mendeley Citation Style_1">
    <vt:lpwstr>http://www.zotero.org/styles/american-geophysical-union</vt:lpwstr>
  </property>
</Properties>
</file>