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4824" w14:textId="77777777" w:rsidR="001B17EF" w:rsidRDefault="001B17EF" w:rsidP="001B17EF">
      <w:pPr>
        <w:pStyle w:val="AppendixHead"/>
        <w:jc w:val="center"/>
      </w:pPr>
      <w:r>
        <w:t>Supplementary Information</w:t>
      </w:r>
    </w:p>
    <w:p w14:paraId="66325F6C" w14:textId="77777777" w:rsidR="001B17EF" w:rsidRPr="00217902" w:rsidRDefault="001B17EF" w:rsidP="001B17EF">
      <w:pPr>
        <w:spacing w:line="480" w:lineRule="auto"/>
        <w:rPr>
          <w:sz w:val="24"/>
          <w:szCs w:val="24"/>
        </w:rPr>
      </w:pPr>
      <w:r>
        <w:rPr>
          <w:b/>
          <w:sz w:val="24"/>
          <w:szCs w:val="24"/>
        </w:rPr>
        <w:t>SI Methods</w:t>
      </w:r>
    </w:p>
    <w:p w14:paraId="3583A3FA" w14:textId="4146CADF" w:rsidR="001B17EF" w:rsidRDefault="001B17EF" w:rsidP="001B17EF">
      <w:pPr>
        <w:spacing w:line="480" w:lineRule="auto"/>
        <w:rPr>
          <w:sz w:val="24"/>
          <w:szCs w:val="24"/>
        </w:rPr>
      </w:pPr>
      <w:r w:rsidRPr="00FD4DDA">
        <w:rPr>
          <w:b/>
          <w:sz w:val="24"/>
          <w:szCs w:val="24"/>
        </w:rPr>
        <w:t>General details.</w:t>
      </w:r>
      <w:r>
        <w:rPr>
          <w:i/>
          <w:sz w:val="24"/>
          <w:szCs w:val="24"/>
        </w:rPr>
        <w:t xml:space="preserve"> </w:t>
      </w:r>
      <w:r w:rsidRPr="00217902">
        <w:rPr>
          <w:sz w:val="24"/>
          <w:szCs w:val="24"/>
        </w:rPr>
        <w:t>All chemicals were purchased from Sigma-Aldrich unless otherwise indicated. DMSP was purchased from Research Plus</w:t>
      </w:r>
      <w:r w:rsidR="003A4515">
        <w:rPr>
          <w:sz w:val="24"/>
          <w:szCs w:val="24"/>
        </w:rPr>
        <w:t>, Inc</w:t>
      </w:r>
      <w:r w:rsidRPr="00217902">
        <w:rPr>
          <w:sz w:val="24"/>
          <w:szCs w:val="24"/>
        </w:rPr>
        <w:t xml:space="preserve">. Methanethiol, ammonium chloride, sodium phosphate, ferrous chloride, ammonium hydroxide, hydrochloric acid (trace metal grade), acetonitrile (optima grade), and methanol (optima grade) were purchased from Fisher Scientific. D3-glutamic acid was purchased from Cambridge Isotopes, d4-4-hydroxybenzoic acid from CDN Isotopes, and d5-sodium taurocholate from Toronto Research Chemicals through Fisher Scientific. We used water purified by a Milli-Q system (Millipore) for all </w:t>
      </w:r>
      <w:r w:rsidRPr="008E6416">
        <w:rPr>
          <w:sz w:val="24"/>
          <w:szCs w:val="24"/>
        </w:rPr>
        <w:t>solutions</w:t>
      </w:r>
      <w:r w:rsidR="008E6416" w:rsidRPr="008E6416">
        <w:rPr>
          <w:sz w:val="24"/>
          <w:szCs w:val="24"/>
        </w:rPr>
        <w:t xml:space="preserve"> (resistivity 18.2 MΩ•cm @ 25 °C, TOC &lt; 1 </w:t>
      </w:r>
      <w:r w:rsidR="005965DF">
        <w:rPr>
          <w:sz w:val="24"/>
          <w:szCs w:val="24"/>
        </w:rPr>
        <w:t>µM</w:t>
      </w:r>
      <w:r w:rsidR="008E6416" w:rsidRPr="008E6416">
        <w:rPr>
          <w:sz w:val="24"/>
          <w:szCs w:val="24"/>
        </w:rPr>
        <w:t>)</w:t>
      </w:r>
      <w:r w:rsidR="000E1704">
        <w:rPr>
          <w:sz w:val="24"/>
          <w:szCs w:val="24"/>
        </w:rPr>
        <w:t xml:space="preserve">. </w:t>
      </w:r>
      <w:r w:rsidRPr="00217902">
        <w:rPr>
          <w:sz w:val="24"/>
          <w:szCs w:val="24"/>
        </w:rPr>
        <w:t xml:space="preserve">All glassware was acid washed and combusted in an oven at 460˚C for at least five hours. All plasticware and media stock solutions were autoclaved before use. In the DMSP and propionate experiment the organic substrates were sterilized by filtering the stock solution through a 0.2 µm nylon syringe filter. </w:t>
      </w:r>
      <w:r w:rsidRPr="00217902">
        <w:rPr>
          <w:i/>
          <w:sz w:val="24"/>
          <w:szCs w:val="24"/>
        </w:rPr>
        <w:t>Ruegeria pomeroyi</w:t>
      </w:r>
      <w:r w:rsidRPr="00217902">
        <w:rPr>
          <w:sz w:val="24"/>
          <w:szCs w:val="24"/>
        </w:rPr>
        <w:t xml:space="preserve"> DSS-3 [DSM 15171] was purchased from ATCC (Catalog #700808).</w:t>
      </w:r>
    </w:p>
    <w:p w14:paraId="16367D52" w14:textId="77777777" w:rsidR="001B17EF" w:rsidRPr="008C15AF" w:rsidRDefault="001B17EF" w:rsidP="001B17EF">
      <w:pPr>
        <w:spacing w:line="480" w:lineRule="auto"/>
        <w:rPr>
          <w:sz w:val="24"/>
          <w:szCs w:val="24"/>
        </w:rPr>
      </w:pPr>
    </w:p>
    <w:p w14:paraId="49190487" w14:textId="636BAE6D" w:rsidR="008C15AF" w:rsidRPr="00156263" w:rsidRDefault="001B17EF" w:rsidP="008C15AF">
      <w:pPr>
        <w:spacing w:line="480" w:lineRule="auto"/>
        <w:rPr>
          <w:i/>
          <w:sz w:val="24"/>
          <w:szCs w:val="24"/>
        </w:rPr>
      </w:pPr>
      <w:r w:rsidRPr="00FD4DDA">
        <w:rPr>
          <w:b/>
          <w:sz w:val="24"/>
          <w:szCs w:val="24"/>
        </w:rPr>
        <w:t>Bacterial Cultures.</w:t>
      </w:r>
      <w:r>
        <w:rPr>
          <w:i/>
          <w:sz w:val="24"/>
          <w:szCs w:val="24"/>
        </w:rPr>
        <w:t xml:space="preserve"> </w:t>
      </w:r>
      <w:r w:rsidR="00DA0EE0">
        <w:rPr>
          <w:sz w:val="24"/>
          <w:szCs w:val="24"/>
        </w:rPr>
        <w:t>The defined medium</w:t>
      </w:r>
      <w:r w:rsidRPr="00BE76A7">
        <w:rPr>
          <w:sz w:val="24"/>
          <w:szCs w:val="24"/>
        </w:rPr>
        <w:t xml:space="preserve"> was made with 0.2 </w:t>
      </w:r>
      <w:r w:rsidRPr="00BE76A7">
        <w:rPr>
          <w:color w:val="000000"/>
          <w:sz w:val="24"/>
          <w:szCs w:val="24"/>
        </w:rPr>
        <w:t>μ</w:t>
      </w:r>
      <w:r w:rsidRPr="00BE76A7">
        <w:rPr>
          <w:sz w:val="24"/>
          <w:szCs w:val="24"/>
        </w:rPr>
        <w:t xml:space="preserve">m-filtered seawater collected near high tide from Vineyard Sound (MA) in September 2013. The media was made with either 1 mM sodium propionate or 0.6 mM </w:t>
      </w:r>
      <w:r w:rsidR="00D152D7">
        <w:rPr>
          <w:sz w:val="24"/>
          <w:szCs w:val="24"/>
        </w:rPr>
        <w:t>DMSP (3 mM carbon in both cases), 4 mM ammonium chloride, 30 nM monosodium phosphate, 100 nM ferrous chloride-ethylenediaminetetraacetic acid, 100 nM zinc chloride, 100 nM manganese(II) chloride, 1 nM cobalt(II) chloride, and 1 mL / L medium of f/2 vitamin solution.</w:t>
      </w:r>
      <w:r w:rsidR="00156263">
        <w:rPr>
          <w:i/>
          <w:sz w:val="24"/>
          <w:szCs w:val="24"/>
        </w:rPr>
        <w:t xml:space="preserve"> </w:t>
      </w:r>
      <w:r w:rsidR="00156263" w:rsidRPr="00BE76A7">
        <w:rPr>
          <w:sz w:val="24"/>
          <w:szCs w:val="24"/>
        </w:rPr>
        <w:t xml:space="preserve">The bacteria were grown in 250 mL Erlenmeyer flasks </w:t>
      </w:r>
      <w:r w:rsidR="00156263">
        <w:rPr>
          <w:sz w:val="24"/>
          <w:szCs w:val="24"/>
        </w:rPr>
        <w:t xml:space="preserve">(120 mL media) </w:t>
      </w:r>
      <w:r w:rsidR="00156263" w:rsidRPr="00BE76A7">
        <w:rPr>
          <w:sz w:val="24"/>
          <w:szCs w:val="24"/>
        </w:rPr>
        <w:t xml:space="preserve">with glass wool in the neck in the dark at 23˚C. </w:t>
      </w:r>
      <w:r w:rsidRPr="00217902">
        <w:rPr>
          <w:sz w:val="24"/>
          <w:szCs w:val="24"/>
        </w:rPr>
        <w:t xml:space="preserve">The experimental samples were inoculated with exponentially-growing </w:t>
      </w:r>
      <w:r w:rsidRPr="00217902">
        <w:rPr>
          <w:i/>
          <w:sz w:val="24"/>
          <w:szCs w:val="24"/>
        </w:rPr>
        <w:t>R. pomeroyi</w:t>
      </w:r>
      <w:r w:rsidRPr="00217902">
        <w:rPr>
          <w:sz w:val="24"/>
          <w:szCs w:val="24"/>
        </w:rPr>
        <w:t xml:space="preserve"> that had been pre-conditioned in the target media </w:t>
      </w:r>
      <w:r w:rsidR="0026142F">
        <w:rPr>
          <w:sz w:val="24"/>
          <w:szCs w:val="24"/>
        </w:rPr>
        <w:t xml:space="preserve">for </w:t>
      </w:r>
      <w:r w:rsidRPr="00217902">
        <w:rPr>
          <w:sz w:val="24"/>
          <w:szCs w:val="24"/>
        </w:rPr>
        <w:t xml:space="preserve">two transfers. </w:t>
      </w:r>
      <w:r w:rsidR="00156263" w:rsidRPr="00BE76A7">
        <w:rPr>
          <w:sz w:val="24"/>
          <w:szCs w:val="24"/>
        </w:rPr>
        <w:t xml:space="preserve">At each time point two duplicate flasks were sacrificed for both </w:t>
      </w:r>
      <w:r w:rsidR="00156263" w:rsidRPr="00BE76A7">
        <w:rPr>
          <w:sz w:val="24"/>
          <w:szCs w:val="24"/>
        </w:rPr>
        <w:lastRenderedPageBreak/>
        <w:t>treatments. Media blanks for each substrate were extracted at 0, 40, and 72 hours.</w:t>
      </w:r>
      <w:r w:rsidR="00156263">
        <w:rPr>
          <w:sz w:val="24"/>
          <w:szCs w:val="24"/>
        </w:rPr>
        <w:t xml:space="preserve"> </w:t>
      </w:r>
      <w:r w:rsidRPr="00217902">
        <w:rPr>
          <w:sz w:val="24"/>
          <w:szCs w:val="24"/>
        </w:rPr>
        <w:t>Cultures were sacrificed at 0, 32, 38(p</w:t>
      </w:r>
      <w:r>
        <w:rPr>
          <w:sz w:val="24"/>
          <w:szCs w:val="24"/>
        </w:rPr>
        <w:t>ropionate</w:t>
      </w:r>
      <w:r w:rsidRPr="00217902">
        <w:rPr>
          <w:sz w:val="24"/>
          <w:szCs w:val="24"/>
        </w:rPr>
        <w:t>)/43(</w:t>
      </w:r>
      <w:r>
        <w:rPr>
          <w:sz w:val="24"/>
          <w:szCs w:val="24"/>
        </w:rPr>
        <w:t>DMSP</w:t>
      </w:r>
      <w:r w:rsidRPr="00217902">
        <w:rPr>
          <w:sz w:val="24"/>
          <w:szCs w:val="24"/>
        </w:rPr>
        <w:t>), 48, 60, and 72 hours. The third time point was offset between the propionate and DMSP treatments so that the same cell abundance was sampled in each treatment. These time points captured exponential and stationary growth phases in both experiments. Each culture was filtered through a 0.2 µm filter (Omnipore, EMD Millipore) using</w:t>
      </w:r>
      <w:r>
        <w:rPr>
          <w:sz w:val="24"/>
          <w:szCs w:val="24"/>
        </w:rPr>
        <w:t xml:space="preserve"> a glass vacuum filtration rig.</w:t>
      </w:r>
    </w:p>
    <w:p w14:paraId="1AEEC0A8" w14:textId="3C237244" w:rsidR="001B17EF" w:rsidRDefault="008C15AF" w:rsidP="008C15AF">
      <w:pPr>
        <w:spacing w:line="480" w:lineRule="auto"/>
        <w:ind w:firstLine="720"/>
        <w:rPr>
          <w:sz w:val="24"/>
          <w:szCs w:val="24"/>
        </w:rPr>
      </w:pPr>
      <w:r w:rsidRPr="00217902">
        <w:rPr>
          <w:sz w:val="24"/>
          <w:szCs w:val="24"/>
        </w:rPr>
        <w:t xml:space="preserve">The cell concentration was monitored at 6-10 hour intervals throughout the experiment. </w:t>
      </w:r>
      <w:r w:rsidR="00DA59B6">
        <w:rPr>
          <w:sz w:val="24"/>
          <w:szCs w:val="24"/>
        </w:rPr>
        <w:t>O</w:t>
      </w:r>
      <w:r w:rsidRPr="00217902">
        <w:rPr>
          <w:sz w:val="24"/>
          <w:szCs w:val="24"/>
        </w:rPr>
        <w:t xml:space="preserve">ptical density was measured using a Thermo Electron Corporation Nicolet Evolution 300 </w:t>
      </w:r>
      <w:r w:rsidRPr="00831063">
        <w:rPr>
          <w:sz w:val="24"/>
          <w:szCs w:val="24"/>
        </w:rPr>
        <w:t>Spectrophotometer set to 660 nm. This was calibrated to cells/mL using DAPI stained cell counts from cultures grown on the same media to make a five-point calibration curve.</w:t>
      </w:r>
    </w:p>
    <w:p w14:paraId="5461ADEB" w14:textId="77777777" w:rsidR="001B17EF" w:rsidRPr="00217902" w:rsidRDefault="001B17EF" w:rsidP="001B17EF">
      <w:pPr>
        <w:spacing w:line="480" w:lineRule="auto"/>
        <w:ind w:firstLine="720"/>
        <w:rPr>
          <w:sz w:val="24"/>
          <w:szCs w:val="24"/>
        </w:rPr>
      </w:pPr>
    </w:p>
    <w:p w14:paraId="4259F5C0" w14:textId="4D4D7633" w:rsidR="001B17EF" w:rsidRPr="00217902" w:rsidRDefault="001B17EF" w:rsidP="001B17EF">
      <w:pPr>
        <w:spacing w:line="480" w:lineRule="auto"/>
        <w:rPr>
          <w:sz w:val="24"/>
          <w:szCs w:val="24"/>
        </w:rPr>
      </w:pPr>
      <w:r w:rsidRPr="00FD4DDA">
        <w:rPr>
          <w:b/>
          <w:sz w:val="24"/>
          <w:szCs w:val="24"/>
        </w:rPr>
        <w:t>Intracellular Metabolite Extraction</w:t>
      </w:r>
      <w:r w:rsidRPr="00217902">
        <w:rPr>
          <w:i/>
          <w:sz w:val="24"/>
          <w:szCs w:val="24"/>
        </w:rPr>
        <w:t xml:space="preserve"> </w:t>
      </w:r>
      <w:r w:rsidRPr="00217902">
        <w:rPr>
          <w:sz w:val="24"/>
          <w:szCs w:val="24"/>
        </w:rPr>
        <w:t xml:space="preserve">(adapted from </w:t>
      </w:r>
      <w:r>
        <w:rPr>
          <w:sz w:val="24"/>
          <w:szCs w:val="24"/>
        </w:rPr>
        <w:fldChar w:fldCharType="begin" w:fldLock="1"/>
      </w:r>
      <w:r w:rsidR="00EB142B">
        <w:rPr>
          <w:sz w:val="24"/>
          <w:szCs w:val="24"/>
        </w:rPr>
        <w:instrText>ADDIN CSL_CITATION { "citationItems" : [ { "id" : "ITEM-1", "itemData" : { "author" : [ { "dropping-particle" : "", "family" : "Rabinowitz", "given" : "Joshua D", "non-dropping-particle" : "", "parse-names" : false, "suffix" : "" }, { "dropping-particle" : "", "family" : "Kimball", "given" : "Elizabeth", "non-dropping-particle" : "", "parse-names" : false, "suffix" : "" } ], "container-title" : "Analytical Chemistry", "id" : "ITEM-1", "issue" : "16", "issued" : { "date-parts" : [ [ "2007" ] ] }, "page" : "6167-6173", "title" : "Acidic acetonitrile for cellular metabolome extraction from &lt;i&gt;Escherichia coli&lt;/i&gt;", "type" : "article-journal", "volume" : "79" }, "uris" : [ "http://www.mendeley.com/documents/?uuid=615fb7b8-3cc8-42a3-a3c4-3f877511d2e5" ] } ], "mendeley" : { "formattedCitation" : "(Rabinowitz and Kimball, 2007)", "manualFormatting" : "Rabinowitz and Kimball, 2007)", "plainTextFormattedCitation" : "(Rabinowitz and Kimball, 2007)", "previouslyFormattedCitation" : "(Rabinowitz and Kimball, 2007)" }, "properties" : { "noteIndex" : 0 }, "schema" : "https://github.com/citation-style-language/schema/raw/master/csl-citation.json" }</w:instrText>
      </w:r>
      <w:r>
        <w:rPr>
          <w:sz w:val="24"/>
          <w:szCs w:val="24"/>
        </w:rPr>
        <w:fldChar w:fldCharType="separate"/>
      </w:r>
      <w:r w:rsidRPr="00DE5ACF">
        <w:rPr>
          <w:noProof/>
          <w:sz w:val="24"/>
          <w:szCs w:val="24"/>
        </w:rPr>
        <w:t>Rabinowitz and Kimball, 2007)</w:t>
      </w:r>
      <w:r>
        <w:rPr>
          <w:sz w:val="24"/>
          <w:szCs w:val="24"/>
        </w:rPr>
        <w:fldChar w:fldCharType="end"/>
      </w:r>
      <w:r>
        <w:rPr>
          <w:sz w:val="24"/>
          <w:szCs w:val="24"/>
        </w:rPr>
        <w:t xml:space="preserve">. </w:t>
      </w:r>
      <w:r w:rsidRPr="00217902">
        <w:rPr>
          <w:sz w:val="24"/>
          <w:szCs w:val="24"/>
        </w:rPr>
        <w:t>Filters were placed in cryovials and frozen at -80˚C immediately after filtration. Subsequently, three quarters of each filter was weighed and cut into small pieces with methanol rinsed scissors on combusted aluminum foil. The pieces of the filter were placed in an 8 mL combusted amber glass vial and 1 mL of -20˚C 40:40:20 acetonitrile:methanol:water + 0.1 M formic acid was added to each vial. 25 µL of 1 µg/mL deuterated standard mix (d3-glutamic acid, d4-4-hydroxybenzoic acid, and d5-</w:t>
      </w:r>
      <w:r>
        <w:rPr>
          <w:sz w:val="24"/>
          <w:szCs w:val="24"/>
        </w:rPr>
        <w:t xml:space="preserve">taurocholate) </w:t>
      </w:r>
      <w:r w:rsidR="0028603B">
        <w:rPr>
          <w:sz w:val="24"/>
          <w:szCs w:val="24"/>
        </w:rPr>
        <w:t>was</w:t>
      </w:r>
      <w:r w:rsidR="002341F7">
        <w:rPr>
          <w:sz w:val="24"/>
          <w:szCs w:val="24"/>
        </w:rPr>
        <w:t xml:space="preserve"> </w:t>
      </w:r>
      <w:r>
        <w:rPr>
          <w:sz w:val="24"/>
          <w:szCs w:val="24"/>
        </w:rPr>
        <w:t xml:space="preserve">added </w:t>
      </w:r>
      <w:r w:rsidRPr="00217902">
        <w:rPr>
          <w:sz w:val="24"/>
          <w:szCs w:val="24"/>
        </w:rPr>
        <w:t xml:space="preserve">as extraction recovery standards. The vials were vortexed to shake apart filter pieces and fully expose them to the ice-cold solvent. They were sonicated for 10 minutes and the extract was transferred </w:t>
      </w:r>
      <w:r w:rsidRPr="002341F7">
        <w:rPr>
          <w:sz w:val="24"/>
          <w:szCs w:val="24"/>
        </w:rPr>
        <w:t>to micro-centrifuge tubes</w:t>
      </w:r>
      <w:r w:rsidR="002341F7">
        <w:rPr>
          <w:sz w:val="24"/>
          <w:szCs w:val="24"/>
        </w:rPr>
        <w:t xml:space="preserve"> using </w:t>
      </w:r>
      <w:r w:rsidRPr="00217902">
        <w:rPr>
          <w:sz w:val="24"/>
          <w:szCs w:val="24"/>
        </w:rPr>
        <w:t xml:space="preserve">Pasteur pipettes. The filter pieces were rinsed with 200 µL of extraction solvent and the rinse was added to </w:t>
      </w:r>
      <w:r w:rsidRPr="002341F7">
        <w:rPr>
          <w:sz w:val="24"/>
          <w:szCs w:val="24"/>
        </w:rPr>
        <w:t xml:space="preserve">the </w:t>
      </w:r>
      <w:r w:rsidR="002341F7" w:rsidRPr="002341F7">
        <w:rPr>
          <w:sz w:val="24"/>
          <w:szCs w:val="24"/>
        </w:rPr>
        <w:t>micro-centrifuge</w:t>
      </w:r>
      <w:r w:rsidRPr="002341F7">
        <w:rPr>
          <w:sz w:val="24"/>
          <w:szCs w:val="24"/>
        </w:rPr>
        <w:t xml:space="preserve"> tubes as</w:t>
      </w:r>
      <w:r w:rsidRPr="00217902">
        <w:rPr>
          <w:sz w:val="24"/>
          <w:szCs w:val="24"/>
        </w:rPr>
        <w:t xml:space="preserve"> well. The extracts were centrifuged at 20,000 × </w:t>
      </w:r>
      <w:r w:rsidRPr="008E20CE">
        <w:rPr>
          <w:i/>
          <w:sz w:val="24"/>
          <w:szCs w:val="24"/>
        </w:rPr>
        <w:t>g</w:t>
      </w:r>
      <w:r w:rsidRPr="00217902">
        <w:rPr>
          <w:sz w:val="24"/>
          <w:szCs w:val="24"/>
        </w:rPr>
        <w:t xml:space="preserve"> for 5 minutes. The supernatant was transferred to new 8 mL amber glass vials leaving behind an</w:t>
      </w:r>
      <w:r>
        <w:rPr>
          <w:sz w:val="24"/>
          <w:szCs w:val="24"/>
        </w:rPr>
        <w:t xml:space="preserve">y </w:t>
      </w:r>
      <w:r>
        <w:rPr>
          <w:sz w:val="24"/>
          <w:szCs w:val="24"/>
        </w:rPr>
        <w:lastRenderedPageBreak/>
        <w:t xml:space="preserve">scraps of filter or </w:t>
      </w:r>
      <w:r w:rsidRPr="00217902">
        <w:rPr>
          <w:sz w:val="24"/>
          <w:szCs w:val="24"/>
        </w:rPr>
        <w:t xml:space="preserve">cellular detritus. The extracts were neutralized with 26 μL of 6 M ammonium hydroxide and dried down in a vacufuge. The samples were reconstituted in 495 </w:t>
      </w:r>
      <w:r w:rsidRPr="00217902">
        <w:rPr>
          <w:color w:val="000000"/>
          <w:sz w:val="24"/>
          <w:szCs w:val="24"/>
        </w:rPr>
        <w:t>μ</w:t>
      </w:r>
      <w:r w:rsidRPr="00217902">
        <w:rPr>
          <w:sz w:val="24"/>
          <w:szCs w:val="24"/>
        </w:rPr>
        <w:t xml:space="preserve">L 95:5 water:acetonitrile and 5 </w:t>
      </w:r>
      <w:r w:rsidRPr="00217902">
        <w:rPr>
          <w:color w:val="000000"/>
          <w:sz w:val="24"/>
          <w:szCs w:val="24"/>
        </w:rPr>
        <w:t>μ</w:t>
      </w:r>
      <w:r w:rsidRPr="00217902">
        <w:rPr>
          <w:sz w:val="24"/>
          <w:szCs w:val="24"/>
        </w:rPr>
        <w:t xml:space="preserve">L of 5 </w:t>
      </w:r>
      <w:r w:rsidRPr="00217902">
        <w:rPr>
          <w:color w:val="000000"/>
          <w:sz w:val="24"/>
          <w:szCs w:val="24"/>
        </w:rPr>
        <w:t>μ</w:t>
      </w:r>
      <w:r w:rsidRPr="00217902">
        <w:rPr>
          <w:sz w:val="24"/>
          <w:szCs w:val="24"/>
        </w:rPr>
        <w:t>g/mL deuterated biotin (injection standard). The solution (100 µL) was placed in a glass insert in an autosampler vial for targeted metabolomic analysis.</w:t>
      </w:r>
    </w:p>
    <w:p w14:paraId="10359760" w14:textId="7C4CDA1C" w:rsidR="001B17EF" w:rsidRDefault="001B17EF" w:rsidP="001B17EF">
      <w:pPr>
        <w:spacing w:line="480" w:lineRule="auto"/>
        <w:ind w:firstLine="720"/>
        <w:rPr>
          <w:sz w:val="24"/>
          <w:szCs w:val="24"/>
        </w:rPr>
      </w:pPr>
      <w:r w:rsidRPr="00217902">
        <w:rPr>
          <w:sz w:val="24"/>
          <w:szCs w:val="24"/>
        </w:rPr>
        <w:t xml:space="preserve">From this same solution 250 </w:t>
      </w:r>
      <w:r w:rsidRPr="00217902">
        <w:rPr>
          <w:color w:val="000000"/>
          <w:sz w:val="24"/>
          <w:szCs w:val="24"/>
        </w:rPr>
        <w:t>μ</w:t>
      </w:r>
      <w:r w:rsidRPr="00217902">
        <w:rPr>
          <w:sz w:val="24"/>
          <w:szCs w:val="24"/>
        </w:rPr>
        <w:t xml:space="preserve">L was removed and placed in a new vial, dried down, and brought up </w:t>
      </w:r>
      <w:r>
        <w:rPr>
          <w:sz w:val="24"/>
          <w:szCs w:val="24"/>
        </w:rPr>
        <w:t xml:space="preserve">to </w:t>
      </w:r>
      <w:r w:rsidRPr="00217902">
        <w:rPr>
          <w:sz w:val="24"/>
          <w:szCs w:val="24"/>
        </w:rPr>
        <w:t xml:space="preserve">500 </w:t>
      </w:r>
      <w:r w:rsidRPr="00217902">
        <w:rPr>
          <w:color w:val="000000"/>
          <w:sz w:val="24"/>
          <w:szCs w:val="24"/>
        </w:rPr>
        <w:t>μ</w:t>
      </w:r>
      <w:r w:rsidRPr="00217902">
        <w:rPr>
          <w:sz w:val="24"/>
          <w:szCs w:val="24"/>
        </w:rPr>
        <w:t xml:space="preserve">L </w:t>
      </w:r>
      <w:r>
        <w:rPr>
          <w:sz w:val="24"/>
          <w:szCs w:val="24"/>
        </w:rPr>
        <w:t xml:space="preserve">with </w:t>
      </w:r>
      <w:r w:rsidRPr="00217902">
        <w:rPr>
          <w:sz w:val="24"/>
          <w:szCs w:val="24"/>
        </w:rPr>
        <w:t>0.01 M HCl</w:t>
      </w:r>
      <w:r w:rsidR="0026142F">
        <w:rPr>
          <w:sz w:val="24"/>
          <w:szCs w:val="24"/>
        </w:rPr>
        <w:t xml:space="preserve"> in water</w:t>
      </w:r>
      <w:r w:rsidRPr="00217902">
        <w:rPr>
          <w:sz w:val="24"/>
          <w:szCs w:val="24"/>
        </w:rPr>
        <w:t xml:space="preserve">. The solution was pulled through a 50 mg </w:t>
      </w:r>
      <w:r w:rsidR="00723B07">
        <w:rPr>
          <w:sz w:val="24"/>
          <w:szCs w:val="24"/>
        </w:rPr>
        <w:t>Agilent</w:t>
      </w:r>
      <w:r w:rsidRPr="00217902">
        <w:rPr>
          <w:sz w:val="24"/>
          <w:szCs w:val="24"/>
        </w:rPr>
        <w:t xml:space="preserve"> </w:t>
      </w:r>
      <w:r w:rsidR="0028603B">
        <w:rPr>
          <w:sz w:val="24"/>
          <w:szCs w:val="24"/>
        </w:rPr>
        <w:t xml:space="preserve">Bond Elut </w:t>
      </w:r>
      <w:r w:rsidRPr="00217902">
        <w:rPr>
          <w:sz w:val="24"/>
          <w:szCs w:val="24"/>
        </w:rPr>
        <w:t xml:space="preserve">PPL cartridge that was pre-rinsed with 1 mL methanol. The cartridge was rinsed with 2 mL 0.01 M </w:t>
      </w:r>
      <w:r w:rsidR="0026142F">
        <w:rPr>
          <w:sz w:val="24"/>
          <w:szCs w:val="24"/>
        </w:rPr>
        <w:t xml:space="preserve">aqueous </w:t>
      </w:r>
      <w:r w:rsidRPr="00217902">
        <w:rPr>
          <w:sz w:val="24"/>
          <w:szCs w:val="24"/>
        </w:rPr>
        <w:t>HCl, dried for five minutes by pulling air through the cartridge, and then the sample was eluted from the cartridge with 1 mL methanol. The samples were dried down in a vacufuge and reconstituted in 250 µL of 95:5 water:acetonitrile for untargeted analysis.</w:t>
      </w:r>
    </w:p>
    <w:p w14:paraId="72FD026E" w14:textId="77777777" w:rsidR="001B17EF" w:rsidRPr="009959DD" w:rsidRDefault="001B17EF" w:rsidP="001B17EF">
      <w:pPr>
        <w:spacing w:line="480" w:lineRule="auto"/>
        <w:ind w:firstLine="720"/>
        <w:rPr>
          <w:rFonts w:eastAsia="Times New Roman"/>
          <w:bCs/>
          <w:kern w:val="36"/>
          <w:sz w:val="24"/>
          <w:szCs w:val="24"/>
        </w:rPr>
      </w:pPr>
      <w:r w:rsidRPr="0020530D">
        <w:rPr>
          <w:rFonts w:eastAsia="Times New Roman"/>
          <w:bCs/>
          <w:kern w:val="36"/>
          <w:sz w:val="24"/>
          <w:szCs w:val="24"/>
        </w:rPr>
        <w:t>The percentage of the filter-extracted carbon retained once it had been re-extracted with a PPL cartridge was 0.1-1.9%. These values reflect the bulk carbon extracted and not the extraction efficiency of individual molecules, which may have higher extraction efficiencies depending on their molecular characteristics.</w:t>
      </w:r>
    </w:p>
    <w:p w14:paraId="6F533DE1" w14:textId="77777777" w:rsidR="001B17EF" w:rsidRPr="00642716" w:rsidRDefault="001B17EF" w:rsidP="001B17EF">
      <w:pPr>
        <w:spacing w:line="480" w:lineRule="auto"/>
        <w:ind w:firstLine="720"/>
        <w:rPr>
          <w:sz w:val="24"/>
          <w:szCs w:val="24"/>
        </w:rPr>
      </w:pPr>
    </w:p>
    <w:p w14:paraId="6779CDC2" w14:textId="200B6F97" w:rsidR="001B17EF" w:rsidRPr="00642716" w:rsidRDefault="001B17EF" w:rsidP="001B17EF">
      <w:pPr>
        <w:spacing w:line="480" w:lineRule="auto"/>
        <w:rPr>
          <w:b/>
          <w:sz w:val="24"/>
          <w:szCs w:val="24"/>
        </w:rPr>
      </w:pPr>
      <w:r w:rsidRPr="00642716">
        <w:rPr>
          <w:b/>
          <w:sz w:val="24"/>
          <w:szCs w:val="24"/>
        </w:rPr>
        <w:t>Extracellular Metabolite Extraction</w:t>
      </w:r>
      <w:r>
        <w:rPr>
          <w:b/>
          <w:sz w:val="24"/>
          <w:szCs w:val="24"/>
        </w:rPr>
        <w:t xml:space="preserve">. </w:t>
      </w:r>
      <w:r w:rsidRPr="00217902">
        <w:rPr>
          <w:sz w:val="24"/>
          <w:szCs w:val="24"/>
        </w:rPr>
        <w:t>The media filtrate was acidified to pH 2-3 with 12 M HCl</w:t>
      </w:r>
      <w:r w:rsidR="00F6481A">
        <w:rPr>
          <w:sz w:val="24"/>
          <w:szCs w:val="24"/>
        </w:rPr>
        <w:t xml:space="preserve"> </w:t>
      </w:r>
      <w:r w:rsidR="00F6481A">
        <w:rPr>
          <w:sz w:val="24"/>
          <w:szCs w:val="24"/>
        </w:rPr>
        <w:fldChar w:fldCharType="begin" w:fldLock="1"/>
      </w:r>
      <w:r w:rsidR="00EB142B">
        <w:rPr>
          <w:sz w:val="24"/>
          <w:szCs w:val="24"/>
        </w:rPr>
        <w:instrText>ADDIN CSL_CITATION { "citationItems" : [ { "id" : "ITEM-1", "itemData" : { "DOI" : "10.4319/lom.2008.6.230", "ISSN" : "15415856", "author" : [ { "dropping-particle" : "", "family" : "Dittmar", "given" : "Thorsten", "non-dropping-particle" : "", "parse-names" : false, "suffix" : "" }, { "dropping-particle" : "", "family" : "Koch", "given" : "Boris", "non-dropping-particle" : "", "parse-names" : false, "suffix" : "" }, { "dropping-particle" : "", "family" : "Hertkorn", "given" : "Norbert", "non-dropping-particle" : "", "parse-names" : false, "suffix" : "" }, { "dropping-particle" : "", "family" : "Kattner", "given" : "Gerhard", "non-dropping-particle" : "", "parse-names" : false, "suffix" : "" } ], "container-title" : "Limnology and Oceanography: Methods", "id" : "ITEM-1", "issued" : { "date-parts" : [ [ "2008" ] ] }, "page" : "230-235", "title" : "A simple and efficient method for the solid-phase extraction of dissolved organic matter (SPE-DOM) from seawater", "type" : "article-journal", "volume" : "6" }, "uris" : [ "http://www.mendeley.com/documents/?uuid=c8cc1868-f212-42c8-8905-823d8f6ff184" ] }, { "id" : "ITEM-2", "itemData" : { "DOI" : "10.1016/j.gca.2015.08.014", "ISSN" : "00167037", "author" : [ { "dropping-particle" : "", "family" : "Longnecker", "given" : "Krista", "non-dropping-particle" : "", "parse-names" : false, "suffix" : "" } ], "container-title" : "Geochimica et Cosmochimica Acta", "id" : "ITEM-2", "issued" : { "date-parts" : [ [ "2015" ] ] }, "page" : "39-49", "publisher" : "Elsevier Ltd", "title" : "Dissolved organic matter in newly formed sea ice and surface seawater", "type" : "article-journal", "volume" : "171" }, "uris" : [ "http://www.mendeley.com/documents/?uuid=1f3e35af-73f4-4a24-8ece-52c419cbf895" ] } ], "mendeley" : { "formattedCitation" : "(Dittmar &lt;i&gt;et al.&lt;/i&gt;, 2008; Longnecker, 2015)", "manualFormatting" : "(Dittmar et al., 2008; after modification by Longnecker, 2015)", "plainTextFormattedCitation" : "(Dittmar et al., 2008; Longnecker, 2015)", "previouslyFormattedCitation" : "(Dittmar &lt;i&gt;et al.&lt;/i&gt;, 2008; Longnecker, 2015)" }, "properties" : { "noteIndex" : 0 }, "schema" : "https://github.com/citation-style-language/schema/raw/master/csl-citation.json" }</w:instrText>
      </w:r>
      <w:r w:rsidR="00F6481A">
        <w:rPr>
          <w:sz w:val="24"/>
          <w:szCs w:val="24"/>
        </w:rPr>
        <w:fldChar w:fldCharType="separate"/>
      </w:r>
      <w:r w:rsidR="00F6481A" w:rsidRPr="00F6481A">
        <w:rPr>
          <w:noProof/>
          <w:sz w:val="24"/>
          <w:szCs w:val="24"/>
        </w:rPr>
        <w:t xml:space="preserve">(Dittmar </w:t>
      </w:r>
      <w:r w:rsidR="00F6481A" w:rsidRPr="00F6481A">
        <w:rPr>
          <w:i/>
          <w:noProof/>
          <w:sz w:val="24"/>
          <w:szCs w:val="24"/>
        </w:rPr>
        <w:t>et al.</w:t>
      </w:r>
      <w:r w:rsidR="00F6481A" w:rsidRPr="00F6481A">
        <w:rPr>
          <w:noProof/>
          <w:sz w:val="24"/>
          <w:szCs w:val="24"/>
        </w:rPr>
        <w:t xml:space="preserve">, 2008; </w:t>
      </w:r>
      <w:r w:rsidR="006C652D">
        <w:rPr>
          <w:noProof/>
          <w:sz w:val="24"/>
          <w:szCs w:val="24"/>
        </w:rPr>
        <w:t xml:space="preserve">after modification by </w:t>
      </w:r>
      <w:r w:rsidR="00F6481A" w:rsidRPr="00F6481A">
        <w:rPr>
          <w:noProof/>
          <w:sz w:val="24"/>
          <w:szCs w:val="24"/>
        </w:rPr>
        <w:t>Longnecker, 2015)</w:t>
      </w:r>
      <w:r w:rsidR="00F6481A">
        <w:rPr>
          <w:sz w:val="24"/>
          <w:szCs w:val="24"/>
        </w:rPr>
        <w:fldChar w:fldCharType="end"/>
      </w:r>
      <w:r w:rsidRPr="00217902">
        <w:rPr>
          <w:sz w:val="24"/>
          <w:szCs w:val="24"/>
        </w:rPr>
        <w:t xml:space="preserve">. It was then pulled through a methanol-rinsed 50 mg </w:t>
      </w:r>
      <w:r w:rsidR="00723B07">
        <w:rPr>
          <w:sz w:val="24"/>
          <w:szCs w:val="24"/>
        </w:rPr>
        <w:t>Agilent</w:t>
      </w:r>
      <w:r w:rsidRPr="00217902">
        <w:rPr>
          <w:sz w:val="24"/>
          <w:szCs w:val="24"/>
        </w:rPr>
        <w:t xml:space="preserve"> </w:t>
      </w:r>
      <w:r w:rsidR="0028603B">
        <w:rPr>
          <w:sz w:val="24"/>
          <w:szCs w:val="24"/>
        </w:rPr>
        <w:t xml:space="preserve">Bond Elut </w:t>
      </w:r>
      <w:r w:rsidRPr="00217902">
        <w:rPr>
          <w:sz w:val="24"/>
          <w:szCs w:val="24"/>
        </w:rPr>
        <w:t xml:space="preserve">PPL (styrene divinyl benzene polymer) cartridge. The cartridge was rinsed with 2 mL 0.01 M HCl, and the metabolites were eluted </w:t>
      </w:r>
      <w:r w:rsidR="00E9324D">
        <w:rPr>
          <w:sz w:val="24"/>
          <w:szCs w:val="24"/>
        </w:rPr>
        <w:t xml:space="preserve">with 1 mL methanol </w:t>
      </w:r>
      <w:r>
        <w:rPr>
          <w:sz w:val="24"/>
          <w:szCs w:val="24"/>
        </w:rPr>
        <w:fldChar w:fldCharType="begin" w:fldLock="1"/>
      </w:r>
      <w:r w:rsidR="00EB142B">
        <w:rPr>
          <w:sz w:val="24"/>
          <w:szCs w:val="24"/>
        </w:rPr>
        <w:instrText>ADDIN CSL_CITATION { "citationItems" : [ { "id" : "ITEM-1", "itemData" : { "DOI" : "10.4319/lom.2008.6.230", "ISSN" : "15415856", "author" : [ { "dropping-particle" : "", "family" : "Dittmar", "given" : "Thorsten", "non-dropping-particle" : "", "parse-names" : false, "suffix" : "" }, { "dropping-particle" : "", "family" : "Koch", "given" : "Boris", "non-dropping-particle" : "", "parse-names" : false, "suffix" : "" }, { "dropping-particle" : "", "family" : "Hertkorn", "given" : "Norbert", "non-dropping-particle" : "", "parse-names" : false, "suffix" : "" }, { "dropping-particle" : "", "family" : "Kattner", "given" : "Gerhard", "non-dropping-particle" : "", "parse-names" : false, "suffix" : "" } ], "container-title" : "Limnology and Oceanography: Methods", "id" : "ITEM-1", "issued" : { "date-parts" : [ [ "2008" ] ] }, "page" : "230-235", "title" : "A simple and efficient method for the solid-phase extraction of dissolved organic matter (SPE-DOM) from seawater", "type" : "article-journal", "volume" : "6" }, "uris" : [ "http://www.mendeley.com/documents/?uuid=c8cc1868-f212-42c8-8905-823d8f6ff184" ] } ], "mendeley" : { "formattedCitation" : "(Dittmar &lt;i&gt;et al.&lt;/i&gt;, 2008)", "manualFormatting" : "(adapted from Dittmar et al., 2008)", "plainTextFormattedCitation" : "(Dittmar et al., 2008)", "previouslyFormattedCitation" : "(Dittmar &lt;i&gt;et al.&lt;/i&gt;, 2008)" }, "properties" : { "noteIndex" : 0 }, "schema" : "https://github.com/citation-style-language/schema/raw/master/csl-citation.json" }</w:instrText>
      </w:r>
      <w:r>
        <w:rPr>
          <w:sz w:val="24"/>
          <w:szCs w:val="24"/>
        </w:rPr>
        <w:fldChar w:fldCharType="separate"/>
      </w:r>
      <w:r w:rsidRPr="00DE5ACF">
        <w:rPr>
          <w:noProof/>
          <w:sz w:val="24"/>
          <w:szCs w:val="24"/>
        </w:rPr>
        <w:t>(</w:t>
      </w:r>
      <w:r w:rsidR="00E9324D">
        <w:rPr>
          <w:noProof/>
          <w:sz w:val="24"/>
          <w:szCs w:val="24"/>
        </w:rPr>
        <w:t xml:space="preserve">adapted from </w:t>
      </w:r>
      <w:r w:rsidRPr="00DE5ACF">
        <w:rPr>
          <w:noProof/>
          <w:sz w:val="24"/>
          <w:szCs w:val="24"/>
        </w:rPr>
        <w:t xml:space="preserve">Dittmar </w:t>
      </w:r>
      <w:r w:rsidRPr="00DE5ACF">
        <w:rPr>
          <w:i/>
          <w:noProof/>
          <w:sz w:val="24"/>
          <w:szCs w:val="24"/>
        </w:rPr>
        <w:t>et al.</w:t>
      </w:r>
      <w:r w:rsidRPr="00DE5ACF">
        <w:rPr>
          <w:noProof/>
          <w:sz w:val="24"/>
          <w:szCs w:val="24"/>
        </w:rPr>
        <w:t>, 2008)</w:t>
      </w:r>
      <w:r>
        <w:rPr>
          <w:sz w:val="24"/>
          <w:szCs w:val="24"/>
        </w:rPr>
        <w:fldChar w:fldCharType="end"/>
      </w:r>
      <w:r w:rsidRPr="00217902">
        <w:rPr>
          <w:sz w:val="24"/>
          <w:szCs w:val="24"/>
        </w:rPr>
        <w:t>. It was dried down in a vacufuge and reconstituted to a total volume of 1 mL as the targeted intracellular samples were above.</w:t>
      </w:r>
      <w:r>
        <w:rPr>
          <w:sz w:val="24"/>
          <w:szCs w:val="24"/>
        </w:rPr>
        <w:t xml:space="preserve"> </w:t>
      </w:r>
      <w:r w:rsidRPr="0020530D">
        <w:rPr>
          <w:rFonts w:eastAsia="Times New Roman"/>
          <w:bCs/>
          <w:kern w:val="36"/>
          <w:sz w:val="24"/>
          <w:szCs w:val="24"/>
        </w:rPr>
        <w:t xml:space="preserve">The percentage of carbon extracted from the media using solid phase extraction was </w:t>
      </w:r>
      <w:r w:rsidR="0057631B">
        <w:rPr>
          <w:rFonts w:eastAsia="Times New Roman"/>
          <w:bCs/>
          <w:kern w:val="36"/>
          <w:sz w:val="24"/>
          <w:szCs w:val="24"/>
        </w:rPr>
        <w:t>2</w:t>
      </w:r>
      <w:r w:rsidRPr="0020530D">
        <w:rPr>
          <w:rFonts w:eastAsia="Times New Roman"/>
          <w:bCs/>
          <w:kern w:val="36"/>
          <w:sz w:val="24"/>
          <w:szCs w:val="24"/>
        </w:rPr>
        <w:t>.</w:t>
      </w:r>
      <w:r w:rsidR="0057631B">
        <w:rPr>
          <w:rFonts w:eastAsia="Times New Roman"/>
          <w:bCs/>
          <w:kern w:val="36"/>
          <w:sz w:val="24"/>
          <w:szCs w:val="24"/>
        </w:rPr>
        <w:t>6</w:t>
      </w:r>
      <w:r w:rsidRPr="0020530D">
        <w:rPr>
          <w:rFonts w:eastAsia="Times New Roman"/>
          <w:bCs/>
          <w:kern w:val="36"/>
          <w:sz w:val="24"/>
          <w:szCs w:val="24"/>
        </w:rPr>
        <w:t>-</w:t>
      </w:r>
      <w:r w:rsidR="0057631B">
        <w:rPr>
          <w:rFonts w:eastAsia="Times New Roman"/>
          <w:bCs/>
          <w:kern w:val="36"/>
          <w:sz w:val="24"/>
          <w:szCs w:val="24"/>
        </w:rPr>
        <w:t>18.8</w:t>
      </w:r>
      <w:r w:rsidRPr="0020530D">
        <w:rPr>
          <w:rFonts w:eastAsia="Times New Roman"/>
          <w:bCs/>
          <w:kern w:val="36"/>
          <w:sz w:val="24"/>
          <w:szCs w:val="24"/>
        </w:rPr>
        <w:t xml:space="preserve">%. The low </w:t>
      </w:r>
      <w:r w:rsidRPr="0020530D">
        <w:rPr>
          <w:rFonts w:eastAsia="Times New Roman"/>
          <w:bCs/>
          <w:kern w:val="36"/>
          <w:sz w:val="24"/>
          <w:szCs w:val="24"/>
        </w:rPr>
        <w:lastRenderedPageBreak/>
        <w:t xml:space="preserve">percentages </w:t>
      </w:r>
      <w:r w:rsidR="0026142F">
        <w:rPr>
          <w:rFonts w:eastAsia="Times New Roman"/>
          <w:bCs/>
          <w:kern w:val="36"/>
          <w:sz w:val="24"/>
          <w:szCs w:val="24"/>
        </w:rPr>
        <w:t>may be</w:t>
      </w:r>
      <w:r w:rsidRPr="0020530D">
        <w:rPr>
          <w:rFonts w:eastAsia="Times New Roman"/>
          <w:bCs/>
          <w:kern w:val="36"/>
          <w:sz w:val="24"/>
          <w:szCs w:val="24"/>
        </w:rPr>
        <w:t xml:space="preserve"> related to the fact that most of the dissolved organic carbon in the media was either propionate or DMSP, neither of which are retained well on PPL cartridges</w:t>
      </w:r>
      <w:r w:rsidR="00DA59B6">
        <w:rPr>
          <w:rFonts w:eastAsia="Times New Roman"/>
          <w:bCs/>
          <w:kern w:val="36"/>
          <w:sz w:val="24"/>
          <w:szCs w:val="24"/>
        </w:rPr>
        <w:t xml:space="preserve"> (W. Johnson, unpublished results)</w:t>
      </w:r>
      <w:r>
        <w:rPr>
          <w:rFonts w:eastAsia="Times New Roman"/>
          <w:bCs/>
          <w:kern w:val="36"/>
          <w:sz w:val="24"/>
          <w:szCs w:val="24"/>
        </w:rPr>
        <w:t>.</w:t>
      </w:r>
    </w:p>
    <w:p w14:paraId="46D77068" w14:textId="77777777" w:rsidR="001B17EF" w:rsidRPr="00FD4DDA" w:rsidRDefault="001B17EF" w:rsidP="001B17EF">
      <w:pPr>
        <w:spacing w:line="480" w:lineRule="auto"/>
        <w:rPr>
          <w:i/>
          <w:sz w:val="24"/>
          <w:szCs w:val="24"/>
        </w:rPr>
      </w:pPr>
    </w:p>
    <w:p w14:paraId="520012F5" w14:textId="7AFD55D2" w:rsidR="001B17EF" w:rsidRPr="00FD4DDA" w:rsidRDefault="001B17EF" w:rsidP="001B17EF">
      <w:pPr>
        <w:spacing w:line="480" w:lineRule="auto"/>
        <w:rPr>
          <w:i/>
          <w:sz w:val="24"/>
          <w:szCs w:val="24"/>
        </w:rPr>
      </w:pPr>
      <w:r w:rsidRPr="00FD4DDA">
        <w:rPr>
          <w:b/>
          <w:sz w:val="24"/>
          <w:szCs w:val="24"/>
        </w:rPr>
        <w:t>Mass Spectrometry.</w:t>
      </w:r>
      <w:r>
        <w:rPr>
          <w:i/>
          <w:sz w:val="24"/>
          <w:szCs w:val="24"/>
        </w:rPr>
        <w:t xml:space="preserve"> </w:t>
      </w:r>
      <w:r w:rsidRPr="00217902">
        <w:rPr>
          <w:sz w:val="24"/>
          <w:szCs w:val="24"/>
        </w:rPr>
        <w:t xml:space="preserve">All samples were pre-separated with the same liquid chromatography method on a Phenomenex C18 reversed phase column (Synergi Fusion, 2.1 x 150 mm, 4 </w:t>
      </w:r>
      <w:r w:rsidR="005965DF">
        <w:rPr>
          <w:sz w:val="24"/>
          <w:szCs w:val="24"/>
        </w:rPr>
        <w:t>µ</w:t>
      </w:r>
      <w:r w:rsidRPr="00217902">
        <w:rPr>
          <w:sz w:val="24"/>
          <w:szCs w:val="24"/>
        </w:rPr>
        <w:t xml:space="preserve">m). Eluents were (A) Milli-Q water with 0.1% formic acid and (B) acetonitrile with 0.1% formic acid. The gradient included: hold at 5% B for 2 minutes; ramp to 65% B for 16 minutes; ramp to 100% B for 7 minutes and hold for 8 min. The column was re-equilibrated </w:t>
      </w:r>
      <w:r w:rsidR="006F6B23">
        <w:rPr>
          <w:sz w:val="24"/>
          <w:szCs w:val="24"/>
        </w:rPr>
        <w:t xml:space="preserve">with the starting ratio of eluents </w:t>
      </w:r>
      <w:r w:rsidRPr="00217902">
        <w:rPr>
          <w:sz w:val="24"/>
          <w:szCs w:val="24"/>
        </w:rPr>
        <w:t xml:space="preserve">for 8.5 min in between analyses. </w:t>
      </w:r>
    </w:p>
    <w:p w14:paraId="67E41E4A" w14:textId="7DC9D41A" w:rsidR="001B17EF" w:rsidRPr="00217902" w:rsidRDefault="001B17EF" w:rsidP="001B17EF">
      <w:pPr>
        <w:spacing w:line="480" w:lineRule="auto"/>
        <w:ind w:firstLine="720"/>
        <w:rPr>
          <w:sz w:val="24"/>
          <w:szCs w:val="24"/>
        </w:rPr>
      </w:pPr>
      <w:r w:rsidRPr="00217902">
        <w:rPr>
          <w:sz w:val="24"/>
          <w:szCs w:val="24"/>
        </w:rPr>
        <w:t xml:space="preserve">Untargeted analyses were conducted using a hybrid linear ion trap - 7T Fourier transform ion cyclotron resonance mass spectrometer (FT-ICR-MS; LTQ FT Ultra, Thermo Scientific) with an electrospray ionization source. The instrument </w:t>
      </w:r>
      <w:r w:rsidR="00CA4DBE">
        <w:rPr>
          <w:sz w:val="24"/>
          <w:szCs w:val="24"/>
        </w:rPr>
        <w:t>wa</w:t>
      </w:r>
      <w:r w:rsidRPr="00217902">
        <w:rPr>
          <w:sz w:val="24"/>
          <w:szCs w:val="24"/>
        </w:rPr>
        <w:t xml:space="preserve">s externally calibrated weekly with a standard mix from the manufacturer. In parallel to the high resolution full MS scan in the FT-ICR cell (R = 100,000 defined at 400 </w:t>
      </w:r>
      <w:r w:rsidRPr="00000290">
        <w:rPr>
          <w:i/>
          <w:sz w:val="24"/>
          <w:szCs w:val="24"/>
        </w:rPr>
        <w:t>m/z</w:t>
      </w:r>
      <w:r w:rsidRPr="00217902">
        <w:rPr>
          <w:sz w:val="24"/>
          <w:szCs w:val="24"/>
        </w:rPr>
        <w:t xml:space="preserve">), the top four most abundant ions that exceeded 500 counts in the ion trap were fragmented. For the intracellular analysis, between every six samples the following sequence was run: Milli-Q blank, </w:t>
      </w:r>
      <w:r w:rsidR="0028603B">
        <w:rPr>
          <w:sz w:val="24"/>
          <w:szCs w:val="24"/>
        </w:rPr>
        <w:t xml:space="preserve">a quality control </w:t>
      </w:r>
      <w:r w:rsidRPr="00217902">
        <w:rPr>
          <w:sz w:val="24"/>
          <w:szCs w:val="24"/>
        </w:rPr>
        <w:t>standard mix, Milli-Q blank, two pooled samples (one for conditioning and one for feature validation).</w:t>
      </w:r>
    </w:p>
    <w:p w14:paraId="356ADC31" w14:textId="744DC020" w:rsidR="001B17EF" w:rsidRDefault="001B17EF" w:rsidP="001B17EF">
      <w:pPr>
        <w:spacing w:line="480" w:lineRule="auto"/>
        <w:rPr>
          <w:sz w:val="24"/>
          <w:szCs w:val="24"/>
        </w:rPr>
      </w:pPr>
      <w:r w:rsidRPr="00217902">
        <w:rPr>
          <w:sz w:val="24"/>
          <w:szCs w:val="24"/>
        </w:rPr>
        <w:tab/>
        <w:t>The targeted method used a Thermo Scientific triple quadrupole mass spectrometer with a heated electrospray ionization source. A mixture containing the standards for all of the targeted metabolites was run at 0.5, 1, 5, 10, 50, 100, 250</w:t>
      </w:r>
      <w:r>
        <w:rPr>
          <w:sz w:val="24"/>
          <w:szCs w:val="24"/>
        </w:rPr>
        <w:t>, and 500 ng/mL concentrations to provide an external calibration curve for relative quanti</w:t>
      </w:r>
      <w:r w:rsidR="00E41D87">
        <w:rPr>
          <w:sz w:val="24"/>
          <w:szCs w:val="24"/>
        </w:rPr>
        <w:t>fic</w:t>
      </w:r>
      <w:r>
        <w:rPr>
          <w:sz w:val="24"/>
          <w:szCs w:val="24"/>
        </w:rPr>
        <w:t xml:space="preserve">ation. </w:t>
      </w:r>
      <w:r w:rsidRPr="00217902">
        <w:rPr>
          <w:sz w:val="24"/>
          <w:szCs w:val="24"/>
        </w:rPr>
        <w:t xml:space="preserve">For the extracellular samples a 500 ng/mL standard mix was run approximately every six samples as quality control with a Milli-Q blank </w:t>
      </w:r>
      <w:r w:rsidRPr="00217902">
        <w:rPr>
          <w:sz w:val="24"/>
          <w:szCs w:val="24"/>
        </w:rPr>
        <w:lastRenderedPageBreak/>
        <w:t>run before and after. In the intracellular samples a pooled sample of all the experimental samples was run after the second Milli-Q sample to re-condition the column.</w:t>
      </w:r>
    </w:p>
    <w:p w14:paraId="5F8E1F70" w14:textId="77777777" w:rsidR="001B17EF" w:rsidRPr="00217902" w:rsidRDefault="001B17EF" w:rsidP="001B17EF">
      <w:pPr>
        <w:spacing w:line="480" w:lineRule="auto"/>
        <w:rPr>
          <w:sz w:val="24"/>
          <w:szCs w:val="24"/>
        </w:rPr>
      </w:pPr>
    </w:p>
    <w:p w14:paraId="1465C010" w14:textId="77777777" w:rsidR="00E2576B" w:rsidRDefault="001B17EF" w:rsidP="008E6416">
      <w:pPr>
        <w:spacing w:line="480" w:lineRule="auto"/>
        <w:rPr>
          <w:rFonts w:eastAsia="Times New Roman"/>
          <w:sz w:val="24"/>
          <w:szCs w:val="24"/>
        </w:rPr>
      </w:pPr>
      <w:r w:rsidRPr="00FD4DDA">
        <w:rPr>
          <w:b/>
          <w:sz w:val="24"/>
          <w:szCs w:val="24"/>
        </w:rPr>
        <w:t>Data Processing.</w:t>
      </w:r>
      <w:r>
        <w:rPr>
          <w:i/>
          <w:sz w:val="24"/>
          <w:szCs w:val="24"/>
        </w:rPr>
        <w:t xml:space="preserve"> </w:t>
      </w:r>
      <w:r w:rsidR="00E2576B" w:rsidRPr="00217902">
        <w:rPr>
          <w:sz w:val="24"/>
          <w:szCs w:val="24"/>
        </w:rPr>
        <w:t>The targeted data was processed using Xcalibur (Thermo Scientific software). Standard curves were assessed individually and low quality peaks removed. The media controls were subtracted from the intracellular samples and used as a starting point reference for the extracellular samples.</w:t>
      </w:r>
    </w:p>
    <w:p w14:paraId="6A58EB25" w14:textId="615CD83C" w:rsidR="001B17EF" w:rsidRPr="00FD4DDA" w:rsidRDefault="00BE72AE" w:rsidP="008E6416">
      <w:pPr>
        <w:spacing w:line="480" w:lineRule="auto"/>
        <w:ind w:firstLine="720"/>
        <w:rPr>
          <w:i/>
          <w:sz w:val="24"/>
          <w:szCs w:val="24"/>
        </w:rPr>
      </w:pPr>
      <w:r>
        <w:rPr>
          <w:sz w:val="24"/>
          <w:szCs w:val="24"/>
        </w:rPr>
        <w:t>All untargeted analysis</w:t>
      </w:r>
      <w:r w:rsidRPr="00217902">
        <w:rPr>
          <w:sz w:val="24"/>
          <w:szCs w:val="24"/>
        </w:rPr>
        <w:t xml:space="preserve"> files were converted from Thermo RAW files to mzML files using MSConvert</w:t>
      </w:r>
      <w:r>
        <w:rPr>
          <w:sz w:val="24"/>
          <w:szCs w:val="24"/>
        </w:rPr>
        <w:t xml:space="preserve"> </w:t>
      </w:r>
      <w:r>
        <w:rPr>
          <w:sz w:val="24"/>
          <w:szCs w:val="24"/>
        </w:rPr>
        <w:fldChar w:fldCharType="begin" w:fldLock="1"/>
      </w:r>
      <w:r w:rsidR="00EB142B">
        <w:rPr>
          <w:sz w:val="24"/>
          <w:szCs w:val="24"/>
        </w:rPr>
        <w:instrText>ADDIN CSL_CITATION { "citationItems" : [ { "id" : "ITEM-1", "itemData" : { "DOI" : "10.1038/nbt.2377", "ISSN" : "1546-1696", "PMID" : "23051804", "author" : [ { "dropping-particle" : "", "family" : "Chambers", "given" : "Matthew C", "non-dropping-particle" : "", "parse-names" : false, "suffix" : "" }, { "dropping-particle" : "", "family" : "Maclean", "given" : "Brendan", "non-dropping-particle" : "", "parse-names" : false, "suffix" : "" }, { "dropping-particle" : "", "family" : "Burke", "given" : "Robert", "non-dropping-particle" : "", "parse-names" : false, "suffix" : "" }, { "dropping-particle" : "", "family" : "Amodei", "given" : "Dario", "non-dropping-particle" : "", "parse-names" : false, "suffix" : "" }, { "dropping-particle" : "", "family" : "Ruderman", "given" : "Daniel L", "non-dropping-particle" : "", "parse-names" : false, "suffix" : "" }, { "dropping-particle" : "", "family" : "Neumann", "given" : "Steffen", "non-dropping-particle" : "", "parse-names" : false, "suffix" : "" }, { "dropping-particle" : "", "family" : "Gatto", "given" : "Laurent", "non-dropping-particle" : "", "parse-names" : false, "suffix" : "" }, { "dropping-particle" : "", "family" : "Fischer", "given" : "Bernd", "non-dropping-particle" : "", "parse-names" : false, "suffix" : "" }, { "dropping-particle" : "", "family" : "Pratt", "given" : "Brian", "non-dropping-particle" : "", "parse-names" : false, "suffix" : "" }, { "dropping-particle" : "", "family" : "Egertson", "given" : "Jarrett", "non-dropping-particle" : "", "parse-names" : false, "suffix" : "" }, { "dropping-particle" : "", "family" : "Hoff", "given" : "Katherine", "non-dropping-particle" : "", "parse-names" : false, "suffix" : "" }, { "dropping-particle" : "", "family" : "Kessner", "given" : "Darren", "non-dropping-particle" : "", "parse-names" : false, "suffix" : "" }, { "dropping-particle" : "", "family" : "Tasman", "given" : "Natalie", "non-dropping-particle" : "", "parse-names" : false, "suffix" : "" }, { "dropping-particle" : "", "family" : "Shulman", "given" : "Nicholas", "non-dropping-particle" : "", "parse-names" : false, "suffix" : "" }, { "dropping-particle" : "", "family" : "Frewen", "given" : "Barbara", "non-dropping-particle" : "", "parse-names" : false, "suffix" : "" }, { "dropping-particle" : "", "family" : "Baker", "given" : "Tahmina a", "non-dropping-particle" : "", "parse-names" : false, "suffix" : "" }, { "dropping-particle" : "", "family" : "Brusniak", "given" : "Mi-Youn", "non-dropping-particle" : "", "parse-names" : false, "suffix" : "" }, { "dropping-particle" : "", "family" : "Paulse", "given" : "Christopher", "non-dropping-particle" : "", "parse-names" : false, "suffix" : "" }, { "dropping-particle" : "", "family" : "Creasy", "given" : "David", "non-dropping-particle" : "", "parse-names" : false, "suffix" : "" }, { "dropping-particle" : "", "family" : "Flashner", "given" : "Lisa", "non-dropping-particle" : "", "parse-names" : false, "suffix" : "" }, { "dropping-particle" : "", "family" : "Kani", "given" : "Kian", "non-dropping-particle" : "", "parse-names" : false, "suffix" : "" }, { "dropping-particle" : "", "family" : "Moulding", "given" : "Chris", "non-dropping-particle" : "", "parse-names" : false, "suffix" : "" }, { "dropping-particle" : "", "family" : "Seymour", "given" : "Sean L", "non-dropping-particle" : "", "parse-names" : false, "suffix" : "" }, { "dropping-particle" : "", "family" : "Nuwaysir", "given" : "Lydia M", "non-dropping-particle" : "", "parse-names" : false, "suffix" : "" }, { "dropping-particle" : "", "family" : "Lefebvre", "given" : "Brent", "non-dropping-particle" : "", "parse-names" : false, "suffix" : "" }, { "dropping-particle" : "", "family" : "Kuhlmann", "given" : "Frank", "non-dropping-particle" : "", "parse-names" : false, "suffix" : "" }, { "dropping-particle" : "", "family" : "Roark", "given" : "Joe", "non-dropping-particle" : "", "parse-names" : false, "suffix" : "" }, { "dropping-particle" : "", "family" : "Rainer", "given" : "Paape", "non-dropping-particle" : "", "parse-names" : false, "suffix" : "" }, { "dropping-particle" : "", "family" : "Detlev", "given" : "Suckau", "non-dropping-particle" : "", "parse-names" : false, "suffix" : "" }, { "dropping-particle" : "", "family" : "Hemenway", "given" : "Tina", "non-dropping-particle" : "", "parse-names" : false, "suffix" : "" }, { "dropping-particle" : "", "family" : "Huhmer", "given" : "Andreas", "non-dropping-particle" : "", "parse-names" : false, "suffix" : "" }, { "dropping-particle" : "", "family" : "Langridge", "given" : "James", "non-dropping-particle" : "", "parse-names" : false, "suffix" : "" }, { "dropping-particle" : "", "family" : "Connolly", "given" : "Brian", "non-dropping-particle" : "", "parse-names" : false, "suffix" : "" }, { "dropping-particle" : "", "family" : "Chadick", "given" : "Trey", "non-dropping-particle" : "", "parse-names" : false, "suffix" : "" }, { "dropping-particle" : "", "family" : "Holly", "given" : "Krisztina", "non-dropping-particle" : "", "parse-names" : false, "suffix" : "" }, { "dropping-particle" : "", "family" : "Eckels", "given" : "Josh", "non-dropping-particle" : "", "parse-names" : false, "suffix" : "" }, { "dropping-particle" : "", "family" : "Deutsch", "given" : "Eric W", "non-dropping-particle" : "", "parse-names" : false, "suffix" : "" }, { "dropping-particle" : "", "family" : "Moritz", "given" : "Robert L", "non-dropping-particle" : "", "parse-names" : false, "suffix" : "" }, { "dropping-particle" : "", "family" : "Katz", "given" : "Jonathan E", "non-dropping-particle" : "", "parse-names" : false, "suffix" : "" }, { "dropping-particle" : "", "family" : "Agus", "given" : "David B", "non-dropping-particle" : "", "parse-names" : false, "suffix" : "" }, { "dropping-particle" : "", "family" : "MacCoss", "given" : "Michael", "non-dropping-particle" : "", "parse-names" : false, "suffix" : "" }, { "dropping-particle" : "", "family" : "Tabb", "given" : "David L", "non-dropping-particle" : "", "parse-names" : false, "suffix" : "" }, { "dropping-particle" : "", "family" : "Mallick", "given" : "Parag", "non-dropping-particle" : "", "parse-names" : false, "suffix" : "" } ], "container-title" : "Nature Biotechnology", "id" : "ITEM-1", "issue" : "10", "issued" : { "date-parts" : [ [ "2012", "10" ] ] }, "page" : "918-920", "title" : "A cross-platform toolkit for mass spectrometry and proteomics", "type" : "article-journal", "volume" : "30" }, "uris" : [ "http://www.mendeley.com/documents/?uuid=8a25d531-7952-4c4f-876b-6dc205172c69" ] } ], "mendeley" : { "formattedCitation" : "(Chambers &lt;i&gt;et al.&lt;/i&gt;, 2012)", "plainTextFormattedCitation" : "(Chambers et al., 2012)", "previouslyFormattedCitation" : "(Chambers &lt;i&gt;et al.&lt;/i&gt;, 2012)" }, "properties" : { "noteIndex" : 0 }, "schema" : "https://github.com/citation-style-language/schema/raw/master/csl-citation.json" }</w:instrText>
      </w:r>
      <w:r>
        <w:rPr>
          <w:sz w:val="24"/>
          <w:szCs w:val="24"/>
        </w:rPr>
        <w:fldChar w:fldCharType="separate"/>
      </w:r>
      <w:r w:rsidRPr="00DE5ACF">
        <w:rPr>
          <w:noProof/>
          <w:sz w:val="24"/>
          <w:szCs w:val="24"/>
        </w:rPr>
        <w:t xml:space="preserve">(Chambers </w:t>
      </w:r>
      <w:r w:rsidRPr="00DE5ACF">
        <w:rPr>
          <w:i/>
          <w:noProof/>
          <w:sz w:val="24"/>
          <w:szCs w:val="24"/>
        </w:rPr>
        <w:t>et al.</w:t>
      </w:r>
      <w:r w:rsidRPr="00DE5ACF">
        <w:rPr>
          <w:noProof/>
          <w:sz w:val="24"/>
          <w:szCs w:val="24"/>
        </w:rPr>
        <w:t>, 2012)</w:t>
      </w:r>
      <w:r>
        <w:rPr>
          <w:sz w:val="24"/>
          <w:szCs w:val="24"/>
        </w:rPr>
        <w:fldChar w:fldCharType="end"/>
      </w:r>
      <w:r w:rsidRPr="00217902">
        <w:rPr>
          <w:sz w:val="24"/>
          <w:szCs w:val="24"/>
        </w:rPr>
        <w:t xml:space="preserve">. </w:t>
      </w:r>
      <w:r w:rsidR="001B17EF" w:rsidRPr="00217902">
        <w:rPr>
          <w:sz w:val="24"/>
          <w:szCs w:val="24"/>
        </w:rPr>
        <w:t xml:space="preserve">The </w:t>
      </w:r>
      <w:r w:rsidR="00E32C1C">
        <w:rPr>
          <w:sz w:val="24"/>
          <w:szCs w:val="24"/>
        </w:rPr>
        <w:t>resulting</w:t>
      </w:r>
      <w:r w:rsidR="00E32C1C" w:rsidRPr="00217902">
        <w:rPr>
          <w:sz w:val="24"/>
          <w:szCs w:val="24"/>
        </w:rPr>
        <w:t xml:space="preserve"> </w:t>
      </w:r>
      <w:r w:rsidR="001B17EF" w:rsidRPr="00217902">
        <w:rPr>
          <w:sz w:val="24"/>
          <w:szCs w:val="24"/>
        </w:rPr>
        <w:t>data was processed using XCMS</w:t>
      </w:r>
      <w:r w:rsidR="001B17EF">
        <w:rPr>
          <w:sz w:val="24"/>
          <w:szCs w:val="24"/>
        </w:rPr>
        <w:t xml:space="preserve"> </w:t>
      </w:r>
      <w:r w:rsidR="001B17EF">
        <w:rPr>
          <w:sz w:val="24"/>
          <w:szCs w:val="24"/>
        </w:rPr>
        <w:fldChar w:fldCharType="begin" w:fldLock="1"/>
      </w:r>
      <w:r w:rsidR="00EB142B">
        <w:rPr>
          <w:sz w:val="24"/>
          <w:szCs w:val="24"/>
        </w:rPr>
        <w:instrText>ADDIN CSL_CITATION { "citationItems" : [ { "id" : "ITEM-1", "itemData" : { "DOI" : "10.1021/ac051437y", "ISSN" : "0003-2700", "PMID" : "16448051", "abstract" : "Metabolite profiling in biomarker discovery, enzyme substrate assignment, drug activity/specificity determination, and basic metabolic research requires new data preprocessing approaches to correlate specific metabolites to their biological origin. Here we introduce an LC/MS-based data analysis approach, XCMS, which incorporates novel nonlinear retention time alignment, matched filtration, peak detection, and peak matching. Without using internal standards, the method dynamically identifies hundreds of endogenous metabolites for use as standards, calculating a nonlinear retention time correction profile for each sample. Following retention time correction, the relative metabolite ion intensities are directly compared to identify changes in specific endogenous metabolites, such as potential biomarkers. The software is demonstrated using data sets from a previously reported enzyme knockout study and a large-scale study of plasma samples. XCMS is freely available under an open-source license at http://metlin.scripps.edu/download/.", "author" : [ { "dropping-particle" : "", "family" : "Smith", "given" : "Colin A.", "non-dropping-particle" : "", "parse-names" : false, "suffix" : "" }, { "dropping-particle" : "", "family" : "Want", "given" : "Elizabeth J.", "non-dropping-particle" : "", "parse-names" : false, "suffix" : "" }, { "dropping-particle" : "", "family" : "O'Maille", "given" : "Grace", "non-dropping-particle" : "", "parse-names" : false, "suffix" : "" }, { "dropping-particle" : "", "family" : "Abagyan", "given" : "Ruben", "non-dropping-particle" : "", "parse-names" : false, "suffix" : "" }, { "dropping-particle" : "", "family" : "Siuzdak", "given" : "Gary", "non-dropping-particle" : "", "parse-names" : false, "suffix" : "" } ], "container-title" : "Analytical Chemistry", "id" : "ITEM-1", "issue" : "3", "issued" : { "date-parts" : [ [ "2006", "2", "1" ] ] }, "page" : "779-787", "title" : "XCMS: processing mass spectrometry data for metabolite profiling using nonlinear peak alignment, matching, and identification.", "type" : "article-journal", "volume" : "78" }, "uris" : [ "http://www.mendeley.com/documents/?uuid=2c74e3a9-6659-4070-b71d-2d1d1b6a271f" ] }, { "id" : "ITEM-2", "itemData" : { "DOI" : "10.1186/1471-2105-9-504", "ISSN" : "1471-2105", "PMID" : "19040729", "abstract" : "Liquid chromatography coupled to mass spectrometry (LC/MS) is an important analytical technology for e.g. metabolomics experiments. Determining the boundaries, centres and intensities of the two-dimensional signals in the LC/MS raw data is called feature detection. For the subsequent analysis of complex samples such as plant extracts, which may contain hundreds of compounds, corresponding to thousands of features -- a reliable feature detection is mandatory.", "author" : [ { "dropping-particle" : "", "family" : "Tautenhahn", "given" : "Ralf", "non-dropping-particle" : "", "parse-names" : false, "suffix" : "" }, { "dropping-particle" : "", "family" : "B\u00f6ttcher", "given" : "Christoph", "non-dropping-particle" : "", "parse-names" : false, "suffix" : "" }, { "dropping-particle" : "", "family" : "Neumann", "given" : "Steffen", "non-dropping-particle" : "", "parse-names" : false, "suffix" : "" } ], "container-title" : "BMC Bioinformatics", "id" : "ITEM-2", "issued" : { "date-parts" : [ [ "2008", "1" ] ] }, "page" : "504-520", "title" : "Highly sensitive feature detection for high resolution LC/MS.", "type" : "article-journal", "volume" : "9" }, "uris" : [ "http://www.mendeley.com/documents/?uuid=786b41c7-8223-46bc-8b62-d82abc7ca6bc" ] }, { "id" : "ITEM-3", "itemData" : { "DOI" : "10.1093/bioinformatics/btq441", "ISSN" : "1367-4811", "PMID" : "20671148", "abstract" : "MOTIVATION: High mass accuracy is an important goal in liquid chromatography-mass spectrometry experiments. Some manufacturers employ a mass calibration system that regularly switches between the analyte and a standard reference compound, and leads to gaps in the analyte data. We present a method for correction of such gaps in global molecular profiling applications such as metabolomics. We demonstrate that it improves peak detection and quantification, successfully recovering the expected number of peaks and intensity distribution in an example metabolomics dataset. AVAILABILITY AND IMPLEMENTATION: Available in XCMS versions 1.23.3 and higher. Distributed via Bioconductor under GNU General Public License. (http://www.bioconductor.org/packages//2.7/bioc/html/xcms.html).", "author" : [ { "dropping-particle" : "", "family" : "Benton", "given" : "H Paul", "non-dropping-particle" : "", "parse-names" : false, "suffix" : "" }, { "dropping-particle" : "", "family" : "Want", "given" : "Elizabeth J", "non-dropping-particle" : "", "parse-names" : false, "suffix" : "" }, { "dropping-particle" : "", "family" : "Ebbels", "given" : "Timothy M D", "non-dropping-particle" : "", "parse-names" : false, "suffix" : "" } ], "container-title" : "Bioinformatics", "id" : "ITEM-3", "issue" : "19", "issued" : { "date-parts" : [ [ "2010", "10", "1" ] ] }, "page" : "2488-2489", "title" : "Correction of mass calibration gaps in liquid chromatography-mass spectrometry metabolomics data", "type" : "article-journal", "volume" : "26" }, "uris" : [ "http://www.mendeley.com/documents/?uuid=3b4ad67b-1543-474a-950b-ede0ab7f4e4c" ] } ], "mendeley" : { "formattedCitation" : "(Smith &lt;i&gt;et al.&lt;/i&gt;, 2006; Tautenhahn &lt;i&gt;et al.&lt;/i&gt;, 2008; Benton &lt;i&gt;et al.&lt;/i&gt;, 2010)", "plainTextFormattedCitation" : "(Smith et al., 2006; Tautenhahn et al., 2008; Benton et al., 2010)", "previouslyFormattedCitation" : "(Smith &lt;i&gt;et al.&lt;/i&gt;, 2006; Tautenhahn &lt;i&gt;et al.&lt;/i&gt;, 2008; Benton &lt;i&gt;et al.&lt;/i&gt;, 2010)" }, "properties" : { "noteIndex" : 0 }, "schema" : "https://github.com/citation-style-language/schema/raw/master/csl-citation.json" }</w:instrText>
      </w:r>
      <w:r w:rsidR="001B17EF">
        <w:rPr>
          <w:sz w:val="24"/>
          <w:szCs w:val="24"/>
        </w:rPr>
        <w:fldChar w:fldCharType="separate"/>
      </w:r>
      <w:r w:rsidR="001B17EF" w:rsidRPr="00DE5ACF">
        <w:rPr>
          <w:noProof/>
          <w:sz w:val="24"/>
          <w:szCs w:val="24"/>
        </w:rPr>
        <w:t xml:space="preserve">(Smith </w:t>
      </w:r>
      <w:r w:rsidR="001B17EF" w:rsidRPr="00DE5ACF">
        <w:rPr>
          <w:i/>
          <w:noProof/>
          <w:sz w:val="24"/>
          <w:szCs w:val="24"/>
        </w:rPr>
        <w:t>et al.</w:t>
      </w:r>
      <w:r w:rsidR="001B17EF" w:rsidRPr="00DE5ACF">
        <w:rPr>
          <w:noProof/>
          <w:sz w:val="24"/>
          <w:szCs w:val="24"/>
        </w:rPr>
        <w:t xml:space="preserve">, 2006; Tautenhahn </w:t>
      </w:r>
      <w:r w:rsidR="001B17EF" w:rsidRPr="00DE5ACF">
        <w:rPr>
          <w:i/>
          <w:noProof/>
          <w:sz w:val="24"/>
          <w:szCs w:val="24"/>
        </w:rPr>
        <w:t>et al.</w:t>
      </w:r>
      <w:r w:rsidR="001B17EF" w:rsidRPr="00DE5ACF">
        <w:rPr>
          <w:noProof/>
          <w:sz w:val="24"/>
          <w:szCs w:val="24"/>
        </w:rPr>
        <w:t xml:space="preserve">, 2008; Benton </w:t>
      </w:r>
      <w:r w:rsidR="001B17EF" w:rsidRPr="00DE5ACF">
        <w:rPr>
          <w:i/>
          <w:noProof/>
          <w:sz w:val="24"/>
          <w:szCs w:val="24"/>
        </w:rPr>
        <w:t>et al.</w:t>
      </w:r>
      <w:r w:rsidR="001B17EF" w:rsidRPr="00DE5ACF">
        <w:rPr>
          <w:noProof/>
          <w:sz w:val="24"/>
          <w:szCs w:val="24"/>
        </w:rPr>
        <w:t>, 2010)</w:t>
      </w:r>
      <w:r w:rsidR="001B17EF">
        <w:rPr>
          <w:sz w:val="24"/>
          <w:szCs w:val="24"/>
        </w:rPr>
        <w:fldChar w:fldCharType="end"/>
      </w:r>
      <w:r w:rsidR="001B17EF" w:rsidRPr="00217902">
        <w:rPr>
          <w:sz w:val="24"/>
          <w:szCs w:val="24"/>
        </w:rPr>
        <w:t xml:space="preserve"> and CAMERA</w:t>
      </w:r>
      <w:r w:rsidR="001B17EF">
        <w:rPr>
          <w:sz w:val="24"/>
          <w:szCs w:val="24"/>
        </w:rPr>
        <w:t xml:space="preserve"> </w:t>
      </w:r>
      <w:r w:rsidR="001B17EF">
        <w:rPr>
          <w:sz w:val="24"/>
          <w:szCs w:val="24"/>
        </w:rPr>
        <w:fldChar w:fldCharType="begin" w:fldLock="1"/>
      </w:r>
      <w:r w:rsidR="00EB142B">
        <w:rPr>
          <w:sz w:val="24"/>
          <w:szCs w:val="24"/>
        </w:rPr>
        <w:instrText>ADDIN CSL_CITATION { "citationItems" : [ { "id" : "ITEM-1", "itemData" : { "author" : [ { "dropping-particle" : "", "family" : "Kuhl", "given" : "Carsten", "non-dropping-particle" : "", "parse-names" : false, "suffix" : "" }, { "dropping-particle" : "", "family" : "Tautenhahn", "given" : "Ralf", "non-dropping-particle" : "", "parse-names" : false, "suffix" : "" }, { "dropping-particle" : "", "family" : "Bottcher", "given" : "Christoph", "non-dropping-particle" : "", "parse-names" : false, "suffix" : "" }, { "dropping-particle" : "", "family" : "Larson", "given" : "Tony R", "non-dropping-particle" : "", "parse-names" : false, "suffix" : "" }, { "dropping-particle" : "", "family" : "Neumann", "given" : "Steffen", "non-dropping-particle" : "", "parse-names" : false, "suffix" : "" } ], "container-title" : "Analytical Chemistry", "id" : "ITEM-1", "issued" : { "date-parts" : [ [ "2012" ] ] }, "page" : "283-289", "title" : "CAMERA: An integrated strategy for compound spectra extraction and annotation of liquid chromatography/mass spectrometry data sets", "type" : "article-journal", "volume" : "84" }, "uris" : [ "http://www.mendeley.com/documents/?uuid=af6088c0-9b74-4d28-aa92-6a369b562063" ] } ], "mendeley" : { "formattedCitation" : "(Kuhl &lt;i&gt;et al.&lt;/i&gt;, 2012)", "plainTextFormattedCitation" : "(Kuhl et al., 2012)", "previouslyFormattedCitation" : "(Kuhl &lt;i&gt;et al.&lt;/i&gt;, 2012)" }, "properties" : { "noteIndex" : 0 }, "schema" : "https://github.com/citation-style-language/schema/raw/master/csl-citation.json" }</w:instrText>
      </w:r>
      <w:r w:rsidR="001B17EF">
        <w:rPr>
          <w:sz w:val="24"/>
          <w:szCs w:val="24"/>
        </w:rPr>
        <w:fldChar w:fldCharType="separate"/>
      </w:r>
      <w:r w:rsidR="001B17EF" w:rsidRPr="00DE5ACF">
        <w:rPr>
          <w:noProof/>
          <w:sz w:val="24"/>
          <w:szCs w:val="24"/>
        </w:rPr>
        <w:t xml:space="preserve">(Kuhl </w:t>
      </w:r>
      <w:r w:rsidR="001B17EF" w:rsidRPr="00DE5ACF">
        <w:rPr>
          <w:i/>
          <w:noProof/>
          <w:sz w:val="24"/>
          <w:szCs w:val="24"/>
        </w:rPr>
        <w:t>et al.</w:t>
      </w:r>
      <w:r w:rsidR="001B17EF" w:rsidRPr="00DE5ACF">
        <w:rPr>
          <w:noProof/>
          <w:sz w:val="24"/>
          <w:szCs w:val="24"/>
        </w:rPr>
        <w:t>, 2012)</w:t>
      </w:r>
      <w:r w:rsidR="001B17EF">
        <w:rPr>
          <w:sz w:val="24"/>
          <w:szCs w:val="24"/>
        </w:rPr>
        <w:fldChar w:fldCharType="end"/>
      </w:r>
      <w:r w:rsidR="001B17EF" w:rsidRPr="00217902">
        <w:rPr>
          <w:sz w:val="24"/>
          <w:szCs w:val="24"/>
        </w:rPr>
        <w:t>. Peak picking and alignment were carried out separately for the intracellular and extracellular samples. In negative ion mode the peak threshold was set to an absolute intensity of 1000 in MSConvert before processing in XCMS. XCMS settings included: method = centWave, ppm = 2 (negative ion mode), 3 (positive ion mode), signal-to-noise = 10. The retention time correction setting and group.density were also used. Fragmentation mass spectra had a signal-to-noise threshold of 1. For the intracellular samples, pooled samples were used as an additional quality control. The average of each feature in the pooled samples or the experimental samples had to be greater than 1000. The coefficient of variance (100*standard deviation of feature/mean of feature) for each feature in the experimental samples and the pooled samples was calculated and only features that had a higher coefficient of variance in the experimental samples than in the pooled samples were retained for consideration</w:t>
      </w:r>
      <w:r w:rsidR="001B17EF">
        <w:rPr>
          <w:sz w:val="24"/>
          <w:szCs w:val="24"/>
        </w:rPr>
        <w:t xml:space="preserve"> </w:t>
      </w:r>
      <w:r w:rsidR="001B17EF">
        <w:rPr>
          <w:sz w:val="24"/>
          <w:szCs w:val="24"/>
        </w:rPr>
        <w:fldChar w:fldCharType="begin" w:fldLock="1"/>
      </w:r>
      <w:r w:rsidR="00EB142B">
        <w:rPr>
          <w:sz w:val="24"/>
          <w:szCs w:val="24"/>
        </w:rPr>
        <w:instrText>ADDIN CSL_CITATION { "citationItems" : [ { "id" : "ITEM-1", "itemData" : { "DOI" : "10.3390/metabo2040775", "ISSN" : "2218-1989", "PMID" : "24957762", "abstract" : "Several metabolomic software programs provide methods for peak picking, retention time alignment and quantification of metabolite features in LC/MS-based metabolomics. Statistical analysis, however, is needed in order to discover those features significantly altered between samples. By comparing the retention time and MS/MS data of a model compound to that from the altered feature of interest in the research sample, metabolites can be then unequivocally identified. This paper reports on a comprehensive overview of a workflow for statistical analysis to rank relevant metabolite features that will be selected for further MS/MS experiments. We focus on univariate data analysis applied in parallel on all detected features. Characteristics and challenges of this analysis are discussed and illustrated using four different real LC/MS untargeted metabolomic datasets. We demonstrate the influence of considering or violating mathematical assumptions on which univariate statistical test rely, using high-dimensional LC/MS datasets. Issues in data analysis such as determination of sample size, analytical variation, assumption of normality and homocedasticity, or correction for multiple testing are discussed and illustrated in the context of our four untargeted LC/MS working examples.", "author" : [ { "dropping-particle" : "", "family" : "Vinaixa", "given" : "Maria", "non-dropping-particle" : "", "parse-names" : false, "suffix" : "" }, { "dropping-particle" : "", "family" : "Samino", "given" : "Sara", "non-dropping-particle" : "", "parse-names" : false, "suffix" : "" }, { "dropping-particle" : "", "family" : "Saez", "given" : "Isabel", "non-dropping-particle" : "", "parse-names" : false, "suffix" : "" }, { "dropping-particle" : "", "family" : "Duran", "given" : "Jordi", "non-dropping-particle" : "", "parse-names" : false, "suffix" : "" }, { "dropping-particle" : "", "family" : "Guinovart", "given" : "Joan J", "non-dropping-particle" : "", "parse-names" : false, "suffix" : "" }, { "dropping-particle" : "", "family" : "Yanes", "given" : "Oscar", "non-dropping-particle" : "", "parse-names" : false, "suffix" : "" } ], "container-title" : "Metabolites", "id" : "ITEM-1", "issue" : "4", "issued" : { "date-parts" : [ [ "2012", "1" ] ] }, "page" : "775-795", "title" : "A guideline to univariate statistical analysis for LC/MS-based untargeted metabolomics-derived data", "type" : "article-journal", "volume" : "2" }, "uris" : [ "http://www.mendeley.com/documents/?uuid=8feef520-4508-454b-bb18-e49a286ecfc4" ] } ], "mendeley" : { "formattedCitation" : "(Vinaixa &lt;i&gt;et al.&lt;/i&gt;, 2012)", "plainTextFormattedCitation" : "(Vinaixa et al., 2012)", "previouslyFormattedCitation" : "(Vinaixa &lt;i&gt;et al.&lt;/i&gt;, 2012)" }, "properties" : { "noteIndex" : 0 }, "schema" : "https://github.com/citation-style-language/schema/raw/master/csl-citation.json" }</w:instrText>
      </w:r>
      <w:r w:rsidR="001B17EF">
        <w:rPr>
          <w:sz w:val="24"/>
          <w:szCs w:val="24"/>
        </w:rPr>
        <w:fldChar w:fldCharType="separate"/>
      </w:r>
      <w:r w:rsidR="001B17EF" w:rsidRPr="00DE5ACF">
        <w:rPr>
          <w:noProof/>
          <w:sz w:val="24"/>
          <w:szCs w:val="24"/>
        </w:rPr>
        <w:t xml:space="preserve">(Vinaixa </w:t>
      </w:r>
      <w:r w:rsidR="001B17EF" w:rsidRPr="00DE5ACF">
        <w:rPr>
          <w:i/>
          <w:noProof/>
          <w:sz w:val="24"/>
          <w:szCs w:val="24"/>
        </w:rPr>
        <w:t>et al.</w:t>
      </w:r>
      <w:r w:rsidR="001B17EF" w:rsidRPr="00DE5ACF">
        <w:rPr>
          <w:noProof/>
          <w:sz w:val="24"/>
          <w:szCs w:val="24"/>
        </w:rPr>
        <w:t>, 2012)</w:t>
      </w:r>
      <w:r w:rsidR="001B17EF">
        <w:rPr>
          <w:sz w:val="24"/>
          <w:szCs w:val="24"/>
        </w:rPr>
        <w:fldChar w:fldCharType="end"/>
      </w:r>
      <w:r w:rsidR="001B17EF" w:rsidRPr="00217902">
        <w:rPr>
          <w:sz w:val="24"/>
          <w:szCs w:val="24"/>
        </w:rPr>
        <w:t>.</w:t>
      </w:r>
    </w:p>
    <w:p w14:paraId="7041D403" w14:textId="77777777" w:rsidR="001B17EF" w:rsidRPr="00217902" w:rsidRDefault="001B17EF" w:rsidP="001B17EF">
      <w:pPr>
        <w:spacing w:line="480" w:lineRule="auto"/>
        <w:ind w:firstLine="720"/>
        <w:rPr>
          <w:sz w:val="24"/>
          <w:szCs w:val="24"/>
        </w:rPr>
      </w:pPr>
      <w:r w:rsidRPr="00217902">
        <w:rPr>
          <w:sz w:val="24"/>
          <w:szCs w:val="24"/>
        </w:rPr>
        <w:t xml:space="preserve">The list of features defined by a retention time and </w:t>
      </w:r>
      <w:r w:rsidRPr="00BB6243">
        <w:rPr>
          <w:i/>
          <w:sz w:val="24"/>
          <w:szCs w:val="24"/>
        </w:rPr>
        <w:t>m/z</w:t>
      </w:r>
      <w:r>
        <w:rPr>
          <w:sz w:val="24"/>
          <w:szCs w:val="24"/>
        </w:rPr>
        <w:t xml:space="preserve"> </w:t>
      </w:r>
      <w:r w:rsidRPr="00217902">
        <w:rPr>
          <w:sz w:val="24"/>
          <w:szCs w:val="24"/>
        </w:rPr>
        <w:t xml:space="preserve">was further refined by removing any features found in the samples whose average was less than five times higher than the average </w:t>
      </w:r>
      <w:r w:rsidRPr="00217902">
        <w:rPr>
          <w:sz w:val="24"/>
          <w:szCs w:val="24"/>
        </w:rPr>
        <w:lastRenderedPageBreak/>
        <w:t xml:space="preserve">of all the media blanks. In addition, features had to be present in both biological replicates at two different sampling points. This accounted for compounds that might be found in the seawater but were also being produced by the bacteria. To compare overall differences in metabolite composition in the samples, non-metric multidimensional scaling </w:t>
      </w:r>
      <w:r>
        <w:rPr>
          <w:sz w:val="24"/>
          <w:szCs w:val="24"/>
        </w:rPr>
        <w:t xml:space="preserve">based on Bray-Curtis distance matrices </w:t>
      </w:r>
      <w:r w:rsidRPr="00217902">
        <w:rPr>
          <w:sz w:val="24"/>
          <w:szCs w:val="24"/>
        </w:rPr>
        <w:t>was used.</w:t>
      </w:r>
    </w:p>
    <w:p w14:paraId="56DBAE71" w14:textId="674EDBEA" w:rsidR="001B17EF" w:rsidRDefault="001B17EF" w:rsidP="001B17EF">
      <w:pPr>
        <w:spacing w:line="480" w:lineRule="auto"/>
        <w:ind w:firstLine="720"/>
        <w:rPr>
          <w:rFonts w:eastAsia="Times New Roman"/>
          <w:sz w:val="24"/>
          <w:szCs w:val="24"/>
        </w:rPr>
      </w:pPr>
      <w:r>
        <w:rPr>
          <w:rFonts w:eastAsia="Times New Roman"/>
          <w:sz w:val="24"/>
          <w:szCs w:val="24"/>
        </w:rPr>
        <w:t xml:space="preserve">Features in the untargeted data, consisting of a unique </w:t>
      </w:r>
      <w:r w:rsidRPr="006C0914">
        <w:rPr>
          <w:rFonts w:eastAsia="Times New Roman"/>
          <w:i/>
          <w:sz w:val="24"/>
          <w:szCs w:val="24"/>
        </w:rPr>
        <w:t>m/z</w:t>
      </w:r>
      <w:r>
        <w:rPr>
          <w:rFonts w:eastAsia="Times New Roman"/>
          <w:sz w:val="24"/>
          <w:szCs w:val="24"/>
        </w:rPr>
        <w:t xml:space="preserve"> and retention time, were putatively identified by matching the </w:t>
      </w:r>
      <w:r w:rsidRPr="009B0B07">
        <w:rPr>
          <w:rFonts w:eastAsia="Times New Roman"/>
          <w:i/>
          <w:sz w:val="24"/>
          <w:szCs w:val="24"/>
        </w:rPr>
        <w:t>m/z</w:t>
      </w:r>
      <w:r>
        <w:rPr>
          <w:rFonts w:eastAsia="Times New Roman"/>
          <w:sz w:val="24"/>
          <w:szCs w:val="24"/>
        </w:rPr>
        <w:t xml:space="preserve"> to metabolites in the METLIN database </w:t>
      </w:r>
      <w:r>
        <w:rPr>
          <w:rFonts w:eastAsia="Times New Roman"/>
          <w:sz w:val="24"/>
          <w:szCs w:val="24"/>
        </w:rPr>
        <w:fldChar w:fldCharType="begin" w:fldLock="1"/>
      </w:r>
      <w:r w:rsidR="00EB142B">
        <w:rPr>
          <w:rFonts w:eastAsia="Times New Roman"/>
          <w:sz w:val="24"/>
          <w:szCs w:val="24"/>
        </w:rPr>
        <w:instrText>ADDIN CSL_CITATION { "citationItems" : [ { "id" : "ITEM-1", "itemData" : { "author" : [ { "dropping-particle" : "", "family" : "Smith", "given" : "Colin A", "non-dropping-particle" : "", "parse-names" : false, "suffix" : "" }, { "dropping-particle" : "", "family" : "Maille", "given" : "Grace O", "non-dropping-particle" : "", "parse-names" : false, "suffix" : "" }, { "dropping-particle" : "", "family" : "Want", "given" : "Elizabeth J", "non-dropping-particle" : "", "parse-names" : false, "suffix" : "" }, { "dropping-particle" : "", "family" : "Qin", "given" : "Chuan", "non-dropping-particle" : "", "parse-names" : false, "suffix" : "" }, { "dropping-particle" : "", "family" : "Trauger", "given" : "Sunia A", "non-dropping-particle" : "", "parse-names" : false, "suffix" : "" }, { "dropping-particle" : "", "family" : "Brandon", "given" : "Theodore R", "non-dropping-particle" : "", "parse-names" : false, "suffix" : "" }, { "dropping-particle" : "", "family" : "Custodio", "given" : "Darlene E", "non-dropping-particle" : "", "parse-names" : false, "suffix" : "" }, { "dropping-particle" : "", "family" : "Abagyan", "given" : "Ruben", "non-dropping-particle" : "", "parse-names" : false, "suffix" : "" }, { "dropping-particle" : "", "family" : "Siuzdak", "given" : "Gary", "non-dropping-particle" : "", "parse-names" : false, "suffix" : "" } ], "container-title" : "Therapeutic Drug Monitoring", "id" : "ITEM-1", "issue" : "6", "issued" : { "date-parts" : [ [ "2005" ] ] }, "page" : "747-751", "title" : "A metabolite mass spectral database", "type" : "article-journal", "volume" : "27" }, "uris" : [ "http://www.mendeley.com/documents/?uuid=002976ba-9359-4ab8-b8b5-c3890a256be2" ] } ], "mendeley" : { "formattedCitation" : "(Smith &lt;i&gt;et al.&lt;/i&gt;, 2005)", "plainTextFormattedCitation" : "(Smith et al., 2005)", "previouslyFormattedCitation" : "(Smith &lt;i&gt;et al.&lt;/i&gt;, 2005)" }, "properties" : { "noteIndex" : 0 }, "schema" : "https://github.com/citation-style-language/schema/raw/master/csl-citation.json" }</w:instrText>
      </w:r>
      <w:r>
        <w:rPr>
          <w:rFonts w:eastAsia="Times New Roman"/>
          <w:sz w:val="24"/>
          <w:szCs w:val="24"/>
        </w:rPr>
        <w:fldChar w:fldCharType="separate"/>
      </w:r>
      <w:r w:rsidRPr="00DE5ACF">
        <w:rPr>
          <w:rFonts w:eastAsia="Times New Roman"/>
          <w:noProof/>
          <w:sz w:val="24"/>
          <w:szCs w:val="24"/>
        </w:rPr>
        <w:t xml:space="preserve">(Smith </w:t>
      </w:r>
      <w:r w:rsidRPr="00DE5ACF">
        <w:rPr>
          <w:rFonts w:eastAsia="Times New Roman"/>
          <w:i/>
          <w:noProof/>
          <w:sz w:val="24"/>
          <w:szCs w:val="24"/>
        </w:rPr>
        <w:t>et al.</w:t>
      </w:r>
      <w:r w:rsidRPr="00DE5ACF">
        <w:rPr>
          <w:rFonts w:eastAsia="Times New Roman"/>
          <w:noProof/>
          <w:sz w:val="24"/>
          <w:szCs w:val="24"/>
        </w:rPr>
        <w:t>, 2005)</w:t>
      </w:r>
      <w:r>
        <w:rPr>
          <w:rFonts w:eastAsia="Times New Roman"/>
          <w:sz w:val="24"/>
          <w:szCs w:val="24"/>
        </w:rPr>
        <w:fldChar w:fldCharType="end"/>
      </w:r>
      <w:r>
        <w:rPr>
          <w:rFonts w:eastAsia="Times New Roman"/>
          <w:sz w:val="24"/>
          <w:szCs w:val="24"/>
        </w:rPr>
        <w:t xml:space="preserve"> or using MetFrag </w:t>
      </w:r>
      <w:r>
        <w:rPr>
          <w:rFonts w:eastAsia="Times New Roman"/>
          <w:sz w:val="24"/>
          <w:szCs w:val="24"/>
        </w:rPr>
        <w:fldChar w:fldCharType="begin" w:fldLock="1"/>
      </w:r>
      <w:r w:rsidR="00EB142B">
        <w:rPr>
          <w:rFonts w:eastAsia="Times New Roman"/>
          <w:sz w:val="24"/>
          <w:szCs w:val="24"/>
        </w:rPr>
        <w:instrText>ADDIN CSL_CITATION { "citationItems" : [ { "id" : "ITEM-1", "itemData" : { "DOI" : "10.1186/1471-2105-11-148", "ISSN" : "1471-2105", "PMID" : "20307295", "abstract" : "BACKGROUND: Mass spectrometry has become the analytical method of choice in metabolomics research. The identification of unknown compounds is the main bottleneck. In addition to the precursor mass, tandem MS spectra carry informative fragment peaks, but the coverage of spectral libraries of measured reference compounds are far from covering the complete chemical space. Compound libraries such as PubChem or KEGG describe a larger number of compounds, which can be used to compare their in silico fragmentation with spectra of unknown metabolites. RESULTS: We created the MetFrag suite to obtain a candidate list from compound libraries based on the precursor mass, subsequently ranked by the agreement between measured and in silico fragments. In the evaluation MetFrag was able to rank most of the correct compounds within the top 3 candidates returned by an exact mass query in KEGG. Compared to a previously published study, MetFrag obtained better results than the commercial MassFrontier software. Especially for large compound libraries, the candidates with a good score show a high structural similarity or just different stereochemistry, a subsequent clustering based on chemical distances reduces this redundancy. The in silico fragmentation requires less than a second to process a molecule, and MetFrag performs a search in KEGG or PubChem on average within 30 to 300 seconds, respectively, on an average desktop PC. CONCLUSIONS: We presented a method that is able to identify small molecules from tandem MS measurements, even without spectral reference data or a large set of fragmentation rules. With today's massive general purpose compound libraries we obtain dozens of very similar candidates, which still allows a confident estimate of the correct compound class. Our tool MetFrag improves the identification of unknown substances from tandem MS spectra and delivers better results than comparable commercial software. MetFrag is available through a web application, web services and as java library. The web frontend allows the end-user to analyse single spectra and browse the results, whereas the web service and console application are aimed to perform batch searches and evaluation.", "author" : [ { "dropping-particle" : "", "family" : "Wolf", "given" : "Sebastian", "non-dropping-particle" : "", "parse-names" : false, "suffix" : "" }, { "dropping-particle" : "", "family" : "Schmidt", "given" : "Stephan", "non-dropping-particle" : "", "parse-names" : false, "suffix" : "" }, { "dropping-particle" : "", "family" : "M\u00fcller-Hannemann", "given" : "Matthias", "non-dropping-particle" : "", "parse-names" : false, "suffix" : "" }, { "dropping-particle" : "", "family" : "Neumann", "given" : "Steffen", "non-dropping-particle" : "", "parse-names" : false, "suffix" : "" } ], "container-title" : "BMC bioinformatics", "id" : "ITEM-1", "issued" : { "date-parts" : [ [ "2010", "1" ] ] }, "page" : "148-160", "title" : "In silico fragmentation for computer assisted identification of metabolite mass spectra.", "type" : "article-journal", "volume" : "11" }, "uris" : [ "http://www.mendeley.com/documents/?uuid=f0da207a-e72a-44b7-9af7-5722773c41b6" ] } ], "mendeley" : { "formattedCitation" : "(Wolf &lt;i&gt;et al.&lt;/i&gt;, 2010)", "plainTextFormattedCitation" : "(Wolf et al., 2010)", "previouslyFormattedCitation" : "(Wolf &lt;i&gt;et al.&lt;/i&gt;, 2010)" }, "properties" : { "noteIndex" : 0 }, "schema" : "https://github.com/citation-style-language/schema/raw/master/csl-citation.json" }</w:instrText>
      </w:r>
      <w:r>
        <w:rPr>
          <w:rFonts w:eastAsia="Times New Roman"/>
          <w:sz w:val="24"/>
          <w:szCs w:val="24"/>
        </w:rPr>
        <w:fldChar w:fldCharType="separate"/>
      </w:r>
      <w:r w:rsidRPr="00DE5ACF">
        <w:rPr>
          <w:rFonts w:eastAsia="Times New Roman"/>
          <w:noProof/>
          <w:sz w:val="24"/>
          <w:szCs w:val="24"/>
        </w:rPr>
        <w:t xml:space="preserve">(Wolf </w:t>
      </w:r>
      <w:r w:rsidRPr="00DE5ACF">
        <w:rPr>
          <w:rFonts w:eastAsia="Times New Roman"/>
          <w:i/>
          <w:noProof/>
          <w:sz w:val="24"/>
          <w:szCs w:val="24"/>
        </w:rPr>
        <w:t>et al.</w:t>
      </w:r>
      <w:r w:rsidRPr="00DE5ACF">
        <w:rPr>
          <w:rFonts w:eastAsia="Times New Roman"/>
          <w:noProof/>
          <w:sz w:val="24"/>
          <w:szCs w:val="24"/>
        </w:rPr>
        <w:t>, 2010)</w:t>
      </w:r>
      <w:r>
        <w:rPr>
          <w:rFonts w:eastAsia="Times New Roman"/>
          <w:sz w:val="24"/>
          <w:szCs w:val="24"/>
        </w:rPr>
        <w:fldChar w:fldCharType="end"/>
      </w:r>
      <w:r>
        <w:rPr>
          <w:rFonts w:eastAsia="Times New Roman"/>
          <w:sz w:val="24"/>
          <w:szCs w:val="24"/>
        </w:rPr>
        <w:t xml:space="preserve"> to match the </w:t>
      </w:r>
      <w:r w:rsidRPr="009B0B07">
        <w:rPr>
          <w:rFonts w:eastAsia="Times New Roman"/>
          <w:i/>
          <w:sz w:val="24"/>
          <w:szCs w:val="24"/>
        </w:rPr>
        <w:t>m/z</w:t>
      </w:r>
      <w:r>
        <w:rPr>
          <w:rFonts w:eastAsia="Times New Roman"/>
          <w:sz w:val="24"/>
          <w:szCs w:val="24"/>
        </w:rPr>
        <w:t xml:space="preserve"> to metabolites listed in KEGG</w:t>
      </w:r>
      <w:r w:rsidR="00BF4729">
        <w:rPr>
          <w:rFonts w:eastAsia="Times New Roman"/>
          <w:sz w:val="24"/>
          <w:szCs w:val="24"/>
        </w:rPr>
        <w:t xml:space="preserve"> </w:t>
      </w:r>
      <w:r>
        <w:rPr>
          <w:rFonts w:eastAsia="Times New Roman"/>
          <w:sz w:val="24"/>
          <w:szCs w:val="24"/>
        </w:rPr>
        <w:fldChar w:fldCharType="begin" w:fldLock="1"/>
      </w:r>
      <w:r w:rsidR="00EB142B">
        <w:rPr>
          <w:rFonts w:eastAsia="Times New Roman"/>
          <w:sz w:val="24"/>
          <w:szCs w:val="24"/>
        </w:rPr>
        <w:instrText>ADDIN CSL_CITATION { "citationItems" : [ { "id" : "ITEM-1", "itemData" : { "DOI" : "10.1093/nar/gkt1076", "ISSN" : "1362-4962", "PMID" : "24214961", "abstract" : "In the hierarchy of data, information and knowledge, computational methods play a major role in the initial processing of data to extract information, but they alone become less effective to compile knowledge from information. The Kyoto Encyclopedia of Genes and Genomes (KEGG) resource (http://www.kegg.jp/ or http://www.genome.jp/kegg/) has been developed as a reference knowledge base to assist this latter process. In particular, the KEGG pathway maps are widely used for biological interpretation of genome sequences and other high-throughput data. The link from genomes to pathways is made through the KEGG Orthology system, a collection of manually defined ortholog groups identified by K numbers. To better automate this interpretation process the KEGG modules defined by Boolean expressions of K numbers have been expanded and improved. Once genes in a genome are annotated with K numbers, the KEGG modules can be computationally evaluated revealing metabolic capacities and other phenotypic features. The reaction modules, which represent chemical units of reactions, have been used to analyze design principles of metabolic networks and also to improve the definition of K numbers and associated annotations. For translational bioinformatics, the KEGG MEDICUS resource has been developed by integrating drug labels (package inserts) used in society.", "author" : [ { "dropping-particle" : "", "family" : "Kanehisa", "given" : "Minoru", "non-dropping-particle" : "", "parse-names" : false, "suffix" : "" }, { "dropping-particle" : "", "family" : "Goto", "given" : "Susumu", "non-dropping-particle" : "", "parse-names" : false, "suffix" : "" }, { "dropping-particle" : "", "family" : "Sato", "given" : "Yoko", "non-dropping-particle" : "", "parse-names" : false, "suffix" : "" }, { "dropping-particle" : "", "family" : "Kawashima", "given" : "Masayuki", "non-dropping-particle" : "", "parse-names" : false, "suffix" : "" }, { "dropping-particle" : "", "family" : "Furumichi", "given" : "Miho", "non-dropping-particle" : "", "parse-names" : false, "suffix" : "" }, { "dropping-particle" : "", "family" : "Tanabe", "given" : "Mao", "non-dropping-particle" : "", "parse-names" : false, "suffix" : "" } ], "container-title" : "Nucleic acids research", "id" : "ITEM-1", "issue" : "Database issue", "issued" : { "date-parts" : [ [ "2014", "1" ] ] }, "page" : "199-205", "title" : "Data, information, knowledge and principle: back to metabolism in KEGG.", "type" : "article-journal", "volume" : "42" }, "uris" : [ "http://www.mendeley.com/documents/?uuid=8dc44b33-9fc8-4308-945a-967e74313d4a" ] } ], "mendeley" : { "formattedCitation" : "(Kanehisa &lt;i&gt;et al.&lt;/i&gt;, 2014)", "plainTextFormattedCitation" : "(Kanehisa et al., 2014)", "previouslyFormattedCitation" : "(Kanehisa &lt;i&gt;et al.&lt;/i&gt;, 2014)" }, "properties" : { "noteIndex" : 0 }, "schema" : "https://github.com/citation-style-language/schema/raw/master/csl-citation.json" }</w:instrText>
      </w:r>
      <w:r>
        <w:rPr>
          <w:rFonts w:eastAsia="Times New Roman"/>
          <w:sz w:val="24"/>
          <w:szCs w:val="24"/>
        </w:rPr>
        <w:fldChar w:fldCharType="separate"/>
      </w:r>
      <w:r w:rsidRPr="00DE5ACF">
        <w:rPr>
          <w:rFonts w:eastAsia="Times New Roman"/>
          <w:noProof/>
          <w:sz w:val="24"/>
          <w:szCs w:val="24"/>
        </w:rPr>
        <w:t xml:space="preserve">(Kanehisa </w:t>
      </w:r>
      <w:r w:rsidRPr="00DE5ACF">
        <w:rPr>
          <w:rFonts w:eastAsia="Times New Roman"/>
          <w:i/>
          <w:noProof/>
          <w:sz w:val="24"/>
          <w:szCs w:val="24"/>
        </w:rPr>
        <w:t>et al.</w:t>
      </w:r>
      <w:r w:rsidRPr="00DE5ACF">
        <w:rPr>
          <w:rFonts w:eastAsia="Times New Roman"/>
          <w:noProof/>
          <w:sz w:val="24"/>
          <w:szCs w:val="24"/>
        </w:rPr>
        <w:t>, 2014)</w:t>
      </w:r>
      <w:r>
        <w:rPr>
          <w:rFonts w:eastAsia="Times New Roman"/>
          <w:sz w:val="24"/>
          <w:szCs w:val="24"/>
        </w:rPr>
        <w:fldChar w:fldCharType="end"/>
      </w:r>
      <w:r>
        <w:rPr>
          <w:rFonts w:eastAsia="Times New Roman"/>
          <w:sz w:val="24"/>
          <w:szCs w:val="24"/>
        </w:rPr>
        <w:t xml:space="preserve">. If a fragmentation spectrum was available for a feature, this spectrum was compared to experimentally-generated fragmentation patterns in the METLIN database or to </w:t>
      </w:r>
      <w:r w:rsidRPr="009B0B07">
        <w:rPr>
          <w:rFonts w:eastAsia="Times New Roman"/>
          <w:i/>
          <w:sz w:val="24"/>
          <w:szCs w:val="24"/>
        </w:rPr>
        <w:t>in silico</w:t>
      </w:r>
      <w:r>
        <w:rPr>
          <w:rFonts w:eastAsia="Times New Roman"/>
          <w:sz w:val="24"/>
          <w:szCs w:val="24"/>
        </w:rPr>
        <w:t xml:space="preserve"> derived fragmentation patterns from MetFrag.</w:t>
      </w:r>
    </w:p>
    <w:p w14:paraId="44C01B96" w14:textId="77777777" w:rsidR="001B17EF" w:rsidRPr="00212DE2" w:rsidRDefault="001B17EF" w:rsidP="001B17EF">
      <w:pPr>
        <w:spacing w:line="480" w:lineRule="auto"/>
        <w:ind w:firstLine="720"/>
        <w:rPr>
          <w:rFonts w:eastAsia="Times New Roman"/>
          <w:sz w:val="24"/>
          <w:szCs w:val="24"/>
        </w:rPr>
      </w:pPr>
    </w:p>
    <w:p w14:paraId="18EF30F9" w14:textId="2A92DAE0" w:rsidR="001B17EF" w:rsidRDefault="001B17EF" w:rsidP="001B17EF">
      <w:pPr>
        <w:spacing w:line="480" w:lineRule="auto"/>
        <w:rPr>
          <w:sz w:val="24"/>
          <w:szCs w:val="24"/>
        </w:rPr>
      </w:pPr>
      <w:r w:rsidRPr="00FD4DDA">
        <w:rPr>
          <w:b/>
          <w:sz w:val="24"/>
          <w:szCs w:val="24"/>
        </w:rPr>
        <w:t>DOC &amp; TOC Measurements.</w:t>
      </w:r>
      <w:r>
        <w:rPr>
          <w:i/>
          <w:sz w:val="24"/>
          <w:szCs w:val="24"/>
        </w:rPr>
        <w:t xml:space="preserve"> </w:t>
      </w:r>
      <w:r w:rsidRPr="00217902">
        <w:rPr>
          <w:sz w:val="24"/>
          <w:szCs w:val="24"/>
        </w:rPr>
        <w:t>10 mL of whole media was diluted with Milli-Q water to 40 mL and acidified to pH 2-3 for total organic carbon (TOC) analysis. 10 mL</w:t>
      </w:r>
      <w:r w:rsidR="00BF4729">
        <w:rPr>
          <w:sz w:val="24"/>
          <w:szCs w:val="24"/>
        </w:rPr>
        <w:t xml:space="preserve"> of</w:t>
      </w:r>
      <w:r w:rsidRPr="00217902">
        <w:rPr>
          <w:sz w:val="24"/>
          <w:szCs w:val="24"/>
        </w:rPr>
        <w:t xml:space="preserve"> 0.2</w:t>
      </w:r>
      <w:r w:rsidR="00BF4729">
        <w:rPr>
          <w:sz w:val="24"/>
          <w:szCs w:val="24"/>
        </w:rPr>
        <w:t>-</w:t>
      </w:r>
      <w:r w:rsidRPr="00217902">
        <w:rPr>
          <w:color w:val="000000"/>
          <w:sz w:val="24"/>
          <w:szCs w:val="24"/>
        </w:rPr>
        <w:t>μ</w:t>
      </w:r>
      <w:r w:rsidRPr="00217902">
        <w:rPr>
          <w:sz w:val="24"/>
          <w:szCs w:val="24"/>
        </w:rPr>
        <w:t>m filtered media was diluted to 40 mL with MilliQ water and acidified to pH 2-3 for dissolved organic carbon (DOC) analysis. Samples were stored at 4˚C until analysis. The non-purgeable organic carbon was measured using a Shimadzu TOC-V</w:t>
      </w:r>
      <w:r w:rsidRPr="00217902">
        <w:rPr>
          <w:sz w:val="24"/>
          <w:szCs w:val="24"/>
          <w:vertAlign w:val="subscript"/>
        </w:rPr>
        <w:t>CSH</w:t>
      </w:r>
      <w:r w:rsidRPr="00217902">
        <w:rPr>
          <w:sz w:val="24"/>
          <w:szCs w:val="24"/>
        </w:rPr>
        <w:t xml:space="preserve"> Total Organic Carbon Analyzer. A five-point calibration curve made with potassium hydrogen phthalate was used and blanks were run regularly. Comparisons to standards from D. Hansell (University of Miami) were made daily.</w:t>
      </w:r>
    </w:p>
    <w:p w14:paraId="19C3592B" w14:textId="77777777" w:rsidR="001B17EF" w:rsidRPr="00FD4DDA" w:rsidRDefault="001B17EF" w:rsidP="001B17EF">
      <w:pPr>
        <w:spacing w:line="480" w:lineRule="auto"/>
        <w:rPr>
          <w:i/>
          <w:sz w:val="24"/>
          <w:szCs w:val="24"/>
        </w:rPr>
      </w:pPr>
    </w:p>
    <w:p w14:paraId="222BA7AC" w14:textId="23F1919E" w:rsidR="001B17EF" w:rsidRDefault="001B17EF" w:rsidP="001B17EF">
      <w:pPr>
        <w:spacing w:line="480" w:lineRule="auto"/>
        <w:rPr>
          <w:rFonts w:ascii="Times" w:eastAsiaTheme="minorEastAsia" w:hAnsi="Times"/>
        </w:rPr>
      </w:pPr>
      <w:r w:rsidRPr="00FD4DDA">
        <w:rPr>
          <w:b/>
          <w:sz w:val="24"/>
          <w:szCs w:val="24"/>
        </w:rPr>
        <w:t>Gas Chromatography</w:t>
      </w:r>
      <w:r w:rsidR="00B2305B">
        <w:rPr>
          <w:b/>
          <w:sz w:val="24"/>
          <w:szCs w:val="24"/>
        </w:rPr>
        <w:t>-PFPD</w:t>
      </w:r>
      <w:r w:rsidRPr="00FD4DDA">
        <w:rPr>
          <w:sz w:val="24"/>
          <w:szCs w:val="24"/>
        </w:rPr>
        <w:t>. 2 mL of the unfiltered media was sealed in a serum vial. A 200-</w:t>
      </w:r>
      <w:r w:rsidRPr="00FD4DDA">
        <w:rPr>
          <w:color w:val="000000"/>
          <w:sz w:val="24"/>
          <w:szCs w:val="24"/>
        </w:rPr>
        <w:t>μ</w:t>
      </w:r>
      <w:r w:rsidRPr="00FD4DDA">
        <w:rPr>
          <w:sz w:val="24"/>
          <w:szCs w:val="24"/>
        </w:rPr>
        <w:t xml:space="preserve">L sample of headspace was taken with a syringe and injected into a gas chromatograph with an Alltech AT-Sulfur capillary 0.32 mm ID column and an Ol Corp. pulsed flame photometric </w:t>
      </w:r>
      <w:r w:rsidRPr="00FD4DDA">
        <w:rPr>
          <w:sz w:val="24"/>
          <w:szCs w:val="24"/>
        </w:rPr>
        <w:lastRenderedPageBreak/>
        <w:t xml:space="preserve">detector (adapted from </w:t>
      </w:r>
      <w:r w:rsidRPr="00FD4DDA">
        <w:rPr>
          <w:sz w:val="24"/>
          <w:szCs w:val="24"/>
        </w:rPr>
        <w:fldChar w:fldCharType="begin" w:fldLock="1"/>
      </w:r>
      <w:r w:rsidR="00EB142B">
        <w:rPr>
          <w:sz w:val="24"/>
          <w:szCs w:val="24"/>
        </w:rPr>
        <w:instrText>ADDIN CSL_CITATION { "citationItems" : [ { "id" : "ITEM-1", "itemData" : { "DOI" : "10.1111/j.1462-2920.2012.02700.x", "ISSN" : "1462-2920", "PMID" : "22324779", "abstract" : "Dimethylsulfide (DMS) is a climatically relevant trace gas produced and cycled by the surface ocean food web. Mechanisms driving intraannual variability in DMS production and dimethylsulfoniopropionate (DMSP) degradation in open-ocean, oligotrophic regions were investigated during a 10-month time-series at the Bermuda Atlantic Time-series Study site in the Sargasso Sea. Abundance and transcription of bacterial DMSP degradation genes, DMSP lyase enzyme activity, and DMS and DMSP concentrations, consumption rates and production rates were quantified over time and depth. This interdisciplinary data set was used to test current hypotheses of the role of light and carbon supply in regulating upper-ocean sulfur cycling. Findings supported UV-A-dependent phytoplankton DMS production. Bacterial DMSP degraders may also contribute significantly to DMS production when temperatures are elevated and UV-A dose is moderate, but may favour DMSP demethylation under low UV-A doses. Three groups of bacterial DMSP degraders with distinct intraannual variability were identified and niche differentiation was indicated. The combination of genetic and biochemical data suggest a modified 'bacterial switch' hypothesis where the prevalence of different bacterial DMSP degradation pathways is regulated by a complex set of factors including carbon supply, temperature and UV-A dose.", "author" : [ { "dropping-particle" : "", "family" : "Levine", "given" : "Naomi Marcil", "non-dropping-particle" : "", "parse-names" : false, "suffix" : "" }, { "dropping-particle" : "", "family" : "Varaljay", "given" : "Vanessa A", "non-dropping-particle" : "", "parse-names" : false, "suffix" : "" }, { "dropping-particle" : "", "family" : "Toole", "given" : "Dierdre A", "non-dropping-particle" : "", "parse-names" : false, "suffix" : "" }, { "dropping-particle" : "", "family" : "Dacey", "given" : "John W H", "non-dropping-particle" : "", "parse-names" : false, "suffix" : "" }, { "dropping-particle" : "", "family" : "Doney", "given" : "Scott C", "non-dropping-particle" : "", "parse-names" : false, "suffix" : "" }, { "dropping-particle" : "", "family" : "Moran", "given" : "Mary Ann", "non-dropping-particle" : "", "parse-names" : false, "suffix" : "" } ], "container-title" : "Environmental microbiology", "id" : "ITEM-1", "issue" : "5", "issued" : { "date-parts" : [ [ "2012", "5" ] ] }, "page" : "1210-1223", "title" : "Environmental, biochemical and genetic drivers of DMSP degradation and DMS production in the Sargasso Sea.", "type" : "article-journal", "volume" : "14" }, "uris" : [ "http://www.mendeley.com/documents/?uuid=69bd9122-7431-43e3-8e7e-9a4088b4bc14" ] } ], "mendeley" : { "formattedCitation" : "(Levine &lt;i&gt;et al.&lt;/i&gt;, 2012)", "manualFormatting" : "Levine et al., 2012)", "plainTextFormattedCitation" : "(Levine et al., 2012)", "previouslyFormattedCitation" : "(Levine &lt;i&gt;et al.&lt;/i&gt;, 2012)" }, "properties" : { "noteIndex" : 0 }, "schema" : "https://github.com/citation-style-language/schema/raw/master/csl-citation.json" }</w:instrText>
      </w:r>
      <w:r w:rsidRPr="00FD4DDA">
        <w:rPr>
          <w:sz w:val="24"/>
          <w:szCs w:val="24"/>
        </w:rPr>
        <w:fldChar w:fldCharType="separate"/>
      </w:r>
      <w:r w:rsidRPr="00DE5ACF">
        <w:rPr>
          <w:noProof/>
          <w:sz w:val="24"/>
          <w:szCs w:val="24"/>
        </w:rPr>
        <w:t xml:space="preserve">Levine </w:t>
      </w:r>
      <w:r w:rsidRPr="00DE5ACF">
        <w:rPr>
          <w:i/>
          <w:noProof/>
          <w:sz w:val="24"/>
          <w:szCs w:val="24"/>
        </w:rPr>
        <w:t>et al.</w:t>
      </w:r>
      <w:r w:rsidRPr="00DE5ACF">
        <w:rPr>
          <w:noProof/>
          <w:sz w:val="24"/>
          <w:szCs w:val="24"/>
        </w:rPr>
        <w:t>, 2012)</w:t>
      </w:r>
      <w:r w:rsidRPr="00FD4DDA">
        <w:rPr>
          <w:sz w:val="24"/>
          <w:szCs w:val="24"/>
        </w:rPr>
        <w:fldChar w:fldCharType="end"/>
      </w:r>
      <w:r w:rsidRPr="00FD4DDA">
        <w:rPr>
          <w:sz w:val="24"/>
          <w:szCs w:val="24"/>
        </w:rPr>
        <w:t>. The presence of methanethiol and dimethylsulfide was confirmed with commercial standards.</w:t>
      </w:r>
    </w:p>
    <w:p w14:paraId="00B1C341" w14:textId="52518BC6" w:rsidR="003D016B" w:rsidRPr="003D016B" w:rsidRDefault="001B17EF" w:rsidP="003D016B">
      <w:pPr>
        <w:widowControl w:val="0"/>
        <w:autoSpaceDE w:val="0"/>
        <w:autoSpaceDN w:val="0"/>
        <w:adjustRightInd w:val="0"/>
        <w:spacing w:before="100" w:after="100"/>
        <w:rPr>
          <w:rFonts w:ascii="Times" w:hAnsi="Times"/>
          <w:noProof/>
          <w:szCs w:val="24"/>
        </w:rPr>
      </w:pPr>
      <w:r>
        <w:fldChar w:fldCharType="begin" w:fldLock="1"/>
      </w:r>
      <w:r>
        <w:instrText xml:space="preserve">ADDIN Mendeley Bibliography CSL_BIBLIOGRAPHY </w:instrText>
      </w:r>
      <w:r>
        <w:fldChar w:fldCharType="separate"/>
      </w:r>
      <w:r w:rsidR="003D016B" w:rsidRPr="003D016B">
        <w:rPr>
          <w:rFonts w:ascii="Times" w:hAnsi="Times"/>
          <w:noProof/>
          <w:szCs w:val="24"/>
        </w:rPr>
        <w:t xml:space="preserve">Benton HP, Want EJ, Ebbels TMD. (2010). Correction of mass calibration gaps in liquid chromatography-mass spectrometry metabolomics data. </w:t>
      </w:r>
      <w:r w:rsidR="003D016B" w:rsidRPr="003D016B">
        <w:rPr>
          <w:rFonts w:ascii="Times" w:hAnsi="Times"/>
          <w:i/>
          <w:iCs/>
          <w:noProof/>
          <w:szCs w:val="24"/>
        </w:rPr>
        <w:t>Bioinformatics</w:t>
      </w:r>
      <w:r w:rsidR="003D016B" w:rsidRPr="003D016B">
        <w:rPr>
          <w:rFonts w:ascii="Times" w:hAnsi="Times"/>
          <w:noProof/>
          <w:szCs w:val="24"/>
        </w:rPr>
        <w:t xml:space="preserve"> </w:t>
      </w:r>
      <w:r w:rsidR="003D016B" w:rsidRPr="003D016B">
        <w:rPr>
          <w:rFonts w:ascii="Times" w:hAnsi="Times"/>
          <w:b/>
          <w:bCs/>
          <w:noProof/>
          <w:szCs w:val="24"/>
        </w:rPr>
        <w:t>26</w:t>
      </w:r>
      <w:r w:rsidR="003D016B" w:rsidRPr="003D016B">
        <w:rPr>
          <w:rFonts w:ascii="Times" w:hAnsi="Times"/>
          <w:noProof/>
          <w:szCs w:val="24"/>
        </w:rPr>
        <w:t>:2488–2489.</w:t>
      </w:r>
    </w:p>
    <w:p w14:paraId="3E9C4AB6"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Chambers MC, Maclean B, Burke R, Amodei D, Ruderman DL, Neumann S, </w:t>
      </w:r>
      <w:r w:rsidRPr="003D016B">
        <w:rPr>
          <w:rFonts w:ascii="Times" w:hAnsi="Times"/>
          <w:i/>
          <w:iCs/>
          <w:noProof/>
          <w:szCs w:val="24"/>
        </w:rPr>
        <w:t>et al.</w:t>
      </w:r>
      <w:r w:rsidRPr="003D016B">
        <w:rPr>
          <w:rFonts w:ascii="Times" w:hAnsi="Times"/>
          <w:noProof/>
          <w:szCs w:val="24"/>
        </w:rPr>
        <w:t xml:space="preserve"> (2012). A cross-platform toolkit for mass spectrometry and proteomics. </w:t>
      </w:r>
      <w:r w:rsidRPr="003D016B">
        <w:rPr>
          <w:rFonts w:ascii="Times" w:hAnsi="Times"/>
          <w:i/>
          <w:iCs/>
          <w:noProof/>
          <w:szCs w:val="24"/>
        </w:rPr>
        <w:t>Nat Biotechnol</w:t>
      </w:r>
      <w:r w:rsidRPr="003D016B">
        <w:rPr>
          <w:rFonts w:ascii="Times" w:hAnsi="Times"/>
          <w:noProof/>
          <w:szCs w:val="24"/>
        </w:rPr>
        <w:t xml:space="preserve"> </w:t>
      </w:r>
      <w:r w:rsidRPr="003D016B">
        <w:rPr>
          <w:rFonts w:ascii="Times" w:hAnsi="Times"/>
          <w:b/>
          <w:bCs/>
          <w:noProof/>
          <w:szCs w:val="24"/>
        </w:rPr>
        <w:t>30</w:t>
      </w:r>
      <w:r w:rsidRPr="003D016B">
        <w:rPr>
          <w:rFonts w:ascii="Times" w:hAnsi="Times"/>
          <w:noProof/>
          <w:szCs w:val="24"/>
        </w:rPr>
        <w:t>:918–920.</w:t>
      </w:r>
    </w:p>
    <w:p w14:paraId="0CEB0781"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Dittmar T, Koch B, Hertkorn N, Kattner G. (2008). A simple and efficient method for the solid-phase extraction of dissolved organic matter (SPE-DOM) from seawater. </w:t>
      </w:r>
      <w:r w:rsidRPr="003D016B">
        <w:rPr>
          <w:rFonts w:ascii="Times" w:hAnsi="Times"/>
          <w:i/>
          <w:iCs/>
          <w:noProof/>
          <w:szCs w:val="24"/>
        </w:rPr>
        <w:t>Limnol Oceanogr Methods</w:t>
      </w:r>
      <w:r w:rsidRPr="003D016B">
        <w:rPr>
          <w:rFonts w:ascii="Times" w:hAnsi="Times"/>
          <w:noProof/>
          <w:szCs w:val="24"/>
        </w:rPr>
        <w:t xml:space="preserve"> </w:t>
      </w:r>
      <w:r w:rsidRPr="003D016B">
        <w:rPr>
          <w:rFonts w:ascii="Times" w:hAnsi="Times"/>
          <w:b/>
          <w:bCs/>
          <w:noProof/>
          <w:szCs w:val="24"/>
        </w:rPr>
        <w:t>6</w:t>
      </w:r>
      <w:r w:rsidRPr="003D016B">
        <w:rPr>
          <w:rFonts w:ascii="Times" w:hAnsi="Times"/>
          <w:noProof/>
          <w:szCs w:val="24"/>
        </w:rPr>
        <w:t>:230–235.</w:t>
      </w:r>
    </w:p>
    <w:p w14:paraId="2F8BA792"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González JM, Covert JS, Whitman WB, Henriksen JR, Mayer F, Scharf B, </w:t>
      </w:r>
      <w:r w:rsidRPr="003D016B">
        <w:rPr>
          <w:rFonts w:ascii="Times" w:hAnsi="Times"/>
          <w:i/>
          <w:iCs/>
          <w:noProof/>
          <w:szCs w:val="24"/>
        </w:rPr>
        <w:t>et al.</w:t>
      </w:r>
      <w:r w:rsidRPr="003D016B">
        <w:rPr>
          <w:rFonts w:ascii="Times" w:hAnsi="Times"/>
          <w:noProof/>
          <w:szCs w:val="24"/>
        </w:rPr>
        <w:t xml:space="preserve"> (2003). </w:t>
      </w:r>
      <w:r w:rsidRPr="003D016B">
        <w:rPr>
          <w:rFonts w:ascii="Times" w:hAnsi="Times"/>
          <w:i/>
          <w:iCs/>
          <w:noProof/>
          <w:szCs w:val="24"/>
        </w:rPr>
        <w:t>Silicibacter pomeroyi</w:t>
      </w:r>
      <w:r w:rsidRPr="003D016B">
        <w:rPr>
          <w:rFonts w:ascii="Times" w:hAnsi="Times"/>
          <w:noProof/>
          <w:szCs w:val="24"/>
        </w:rPr>
        <w:t xml:space="preserve"> sp. nov. and </w:t>
      </w:r>
      <w:r w:rsidRPr="003D016B">
        <w:rPr>
          <w:rFonts w:ascii="Times" w:hAnsi="Times"/>
          <w:i/>
          <w:iCs/>
          <w:noProof/>
          <w:szCs w:val="24"/>
        </w:rPr>
        <w:t>Roseovarius nubinhibens</w:t>
      </w:r>
      <w:r w:rsidRPr="003D016B">
        <w:rPr>
          <w:rFonts w:ascii="Times" w:hAnsi="Times"/>
          <w:noProof/>
          <w:szCs w:val="24"/>
        </w:rPr>
        <w:t xml:space="preserve"> sp. nov., dimethylsulfoniopropionate-demethylating bacteria from marine environments. </w:t>
      </w:r>
      <w:r w:rsidRPr="003D016B">
        <w:rPr>
          <w:rFonts w:ascii="Times" w:hAnsi="Times"/>
          <w:i/>
          <w:iCs/>
          <w:noProof/>
          <w:szCs w:val="24"/>
        </w:rPr>
        <w:t>Int J Syst Evol Microbiol</w:t>
      </w:r>
      <w:r w:rsidRPr="003D016B">
        <w:rPr>
          <w:rFonts w:ascii="Times" w:hAnsi="Times"/>
          <w:noProof/>
          <w:szCs w:val="24"/>
        </w:rPr>
        <w:t xml:space="preserve"> </w:t>
      </w:r>
      <w:r w:rsidRPr="003D016B">
        <w:rPr>
          <w:rFonts w:ascii="Times" w:hAnsi="Times"/>
          <w:b/>
          <w:bCs/>
          <w:noProof/>
          <w:szCs w:val="24"/>
        </w:rPr>
        <w:t>53</w:t>
      </w:r>
      <w:r w:rsidRPr="003D016B">
        <w:rPr>
          <w:rFonts w:ascii="Times" w:hAnsi="Times"/>
          <w:noProof/>
          <w:szCs w:val="24"/>
        </w:rPr>
        <w:t>:1261–1269.</w:t>
      </w:r>
    </w:p>
    <w:p w14:paraId="1BA85F5D"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Kanehisa M, Goto S, Sato Y, Kawashima M, Furumichi M, Tanabe M. (2014). Data, information, knowledge and principle: back to metabolism in KEGG. </w:t>
      </w:r>
      <w:r w:rsidRPr="003D016B">
        <w:rPr>
          <w:rFonts w:ascii="Times" w:hAnsi="Times"/>
          <w:i/>
          <w:iCs/>
          <w:noProof/>
          <w:szCs w:val="24"/>
        </w:rPr>
        <w:t>Nucleic Acids Res</w:t>
      </w:r>
      <w:r w:rsidRPr="003D016B">
        <w:rPr>
          <w:rFonts w:ascii="Times" w:hAnsi="Times"/>
          <w:noProof/>
          <w:szCs w:val="24"/>
        </w:rPr>
        <w:t xml:space="preserve"> </w:t>
      </w:r>
      <w:r w:rsidRPr="003D016B">
        <w:rPr>
          <w:rFonts w:ascii="Times" w:hAnsi="Times"/>
          <w:b/>
          <w:bCs/>
          <w:noProof/>
          <w:szCs w:val="24"/>
        </w:rPr>
        <w:t>42</w:t>
      </w:r>
      <w:r w:rsidRPr="003D016B">
        <w:rPr>
          <w:rFonts w:ascii="Times" w:hAnsi="Times"/>
          <w:noProof/>
          <w:szCs w:val="24"/>
        </w:rPr>
        <w:t>:199–205.</w:t>
      </w:r>
    </w:p>
    <w:p w14:paraId="255F25AA"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Kuhl C, Tautenhahn R, Bottcher C, Larson TR, Neumann S. (2012). CAMERA: An integrated strategy for compound spectra extraction and annotation of liquid chromatography/mass spectrometry data sets. </w:t>
      </w:r>
      <w:r w:rsidRPr="003D016B">
        <w:rPr>
          <w:rFonts w:ascii="Times" w:hAnsi="Times"/>
          <w:i/>
          <w:iCs/>
          <w:noProof/>
          <w:szCs w:val="24"/>
        </w:rPr>
        <w:t>Anal Chem</w:t>
      </w:r>
      <w:r w:rsidRPr="003D016B">
        <w:rPr>
          <w:rFonts w:ascii="Times" w:hAnsi="Times"/>
          <w:noProof/>
          <w:szCs w:val="24"/>
        </w:rPr>
        <w:t xml:space="preserve"> </w:t>
      </w:r>
      <w:r w:rsidRPr="003D016B">
        <w:rPr>
          <w:rFonts w:ascii="Times" w:hAnsi="Times"/>
          <w:b/>
          <w:bCs/>
          <w:noProof/>
          <w:szCs w:val="24"/>
        </w:rPr>
        <w:t>84</w:t>
      </w:r>
      <w:r w:rsidRPr="003D016B">
        <w:rPr>
          <w:rFonts w:ascii="Times" w:hAnsi="Times"/>
          <w:noProof/>
          <w:szCs w:val="24"/>
        </w:rPr>
        <w:t>:283–289.</w:t>
      </w:r>
    </w:p>
    <w:p w14:paraId="4E34AB0C"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Levine NM, Varaljay VA, Toole DA, Dacey JWH, Doney SC, Moran MA. (2012). Environmental, biochemical and genetic drivers of DMSP degradation and DMS production in the Sargasso Sea. </w:t>
      </w:r>
      <w:r w:rsidRPr="003D016B">
        <w:rPr>
          <w:rFonts w:ascii="Times" w:hAnsi="Times"/>
          <w:i/>
          <w:iCs/>
          <w:noProof/>
          <w:szCs w:val="24"/>
        </w:rPr>
        <w:t>Environ Microbiol</w:t>
      </w:r>
      <w:r w:rsidRPr="003D016B">
        <w:rPr>
          <w:rFonts w:ascii="Times" w:hAnsi="Times"/>
          <w:noProof/>
          <w:szCs w:val="24"/>
        </w:rPr>
        <w:t xml:space="preserve"> </w:t>
      </w:r>
      <w:r w:rsidRPr="003D016B">
        <w:rPr>
          <w:rFonts w:ascii="Times" w:hAnsi="Times"/>
          <w:b/>
          <w:bCs/>
          <w:noProof/>
          <w:szCs w:val="24"/>
        </w:rPr>
        <w:t>14</w:t>
      </w:r>
      <w:r w:rsidRPr="003D016B">
        <w:rPr>
          <w:rFonts w:ascii="Times" w:hAnsi="Times"/>
          <w:noProof/>
          <w:szCs w:val="24"/>
        </w:rPr>
        <w:t>:1210–1223.</w:t>
      </w:r>
    </w:p>
    <w:p w14:paraId="5592BF5A"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Longnecker K. (2015). Dissolved organic matter in newly formed sea ice and surface seawater. </w:t>
      </w:r>
      <w:r w:rsidRPr="003D016B">
        <w:rPr>
          <w:rFonts w:ascii="Times" w:hAnsi="Times"/>
          <w:i/>
          <w:iCs/>
          <w:noProof/>
          <w:szCs w:val="24"/>
        </w:rPr>
        <w:t>Geochim Cosmochim Acta</w:t>
      </w:r>
      <w:r w:rsidRPr="003D016B">
        <w:rPr>
          <w:rFonts w:ascii="Times" w:hAnsi="Times"/>
          <w:noProof/>
          <w:szCs w:val="24"/>
        </w:rPr>
        <w:t xml:space="preserve"> </w:t>
      </w:r>
      <w:r w:rsidRPr="003D016B">
        <w:rPr>
          <w:rFonts w:ascii="Times" w:hAnsi="Times"/>
          <w:b/>
          <w:bCs/>
          <w:noProof/>
          <w:szCs w:val="24"/>
        </w:rPr>
        <w:t>171</w:t>
      </w:r>
      <w:r w:rsidRPr="003D016B">
        <w:rPr>
          <w:rFonts w:ascii="Times" w:hAnsi="Times"/>
          <w:noProof/>
          <w:szCs w:val="24"/>
        </w:rPr>
        <w:t>:39–49.</w:t>
      </w:r>
    </w:p>
    <w:p w14:paraId="79C3D149"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O’Toole GA, Trzebiatowski JR, Escalante-Semerena JC. (1994). The cobC gene of </w:t>
      </w:r>
      <w:r w:rsidRPr="003D016B">
        <w:rPr>
          <w:rFonts w:ascii="Times" w:hAnsi="Times"/>
          <w:i/>
          <w:iCs/>
          <w:noProof/>
          <w:szCs w:val="24"/>
        </w:rPr>
        <w:t>Salmonella typhimurium</w:t>
      </w:r>
      <w:r w:rsidRPr="003D016B">
        <w:rPr>
          <w:rFonts w:ascii="Times" w:hAnsi="Times"/>
          <w:noProof/>
          <w:szCs w:val="24"/>
        </w:rPr>
        <w:t xml:space="preserve"> Codes for a novel phosphatase involved in the assembly of the nucleotide loop of cobalamin. </w:t>
      </w:r>
      <w:r w:rsidRPr="003D016B">
        <w:rPr>
          <w:rFonts w:ascii="Times" w:hAnsi="Times"/>
          <w:i/>
          <w:iCs/>
          <w:noProof/>
          <w:szCs w:val="24"/>
        </w:rPr>
        <w:t>J Biol Chem</w:t>
      </w:r>
      <w:r w:rsidRPr="003D016B">
        <w:rPr>
          <w:rFonts w:ascii="Times" w:hAnsi="Times"/>
          <w:noProof/>
          <w:szCs w:val="24"/>
        </w:rPr>
        <w:t xml:space="preserve"> </w:t>
      </w:r>
      <w:r w:rsidRPr="003D016B">
        <w:rPr>
          <w:rFonts w:ascii="Times" w:hAnsi="Times"/>
          <w:b/>
          <w:bCs/>
          <w:noProof/>
          <w:szCs w:val="24"/>
        </w:rPr>
        <w:t>269</w:t>
      </w:r>
      <w:r w:rsidRPr="003D016B">
        <w:rPr>
          <w:rFonts w:ascii="Times" w:hAnsi="Times"/>
          <w:noProof/>
          <w:szCs w:val="24"/>
        </w:rPr>
        <w:t>:26503–26511.</w:t>
      </w:r>
    </w:p>
    <w:p w14:paraId="6840C571"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Rabinowitz JD, Kimball E. (2007). Acidic acetonitrile for cellular metabolome extraction from </w:t>
      </w:r>
      <w:r w:rsidRPr="003D016B">
        <w:rPr>
          <w:rFonts w:ascii="Times" w:hAnsi="Times"/>
          <w:i/>
          <w:iCs/>
          <w:noProof/>
          <w:szCs w:val="24"/>
        </w:rPr>
        <w:t>Escherichia coli</w:t>
      </w:r>
      <w:r w:rsidRPr="003D016B">
        <w:rPr>
          <w:rFonts w:ascii="Times" w:hAnsi="Times"/>
          <w:noProof/>
          <w:szCs w:val="24"/>
        </w:rPr>
        <w:t xml:space="preserve">. </w:t>
      </w:r>
      <w:r w:rsidRPr="003D016B">
        <w:rPr>
          <w:rFonts w:ascii="Times" w:hAnsi="Times"/>
          <w:i/>
          <w:iCs/>
          <w:noProof/>
          <w:szCs w:val="24"/>
        </w:rPr>
        <w:t>Anal Chem</w:t>
      </w:r>
      <w:r w:rsidRPr="003D016B">
        <w:rPr>
          <w:rFonts w:ascii="Times" w:hAnsi="Times"/>
          <w:noProof/>
          <w:szCs w:val="24"/>
        </w:rPr>
        <w:t xml:space="preserve"> </w:t>
      </w:r>
      <w:r w:rsidRPr="003D016B">
        <w:rPr>
          <w:rFonts w:ascii="Times" w:hAnsi="Times"/>
          <w:b/>
          <w:bCs/>
          <w:noProof/>
          <w:szCs w:val="24"/>
        </w:rPr>
        <w:t>79</w:t>
      </w:r>
      <w:r w:rsidRPr="003D016B">
        <w:rPr>
          <w:rFonts w:ascii="Times" w:hAnsi="Times"/>
          <w:noProof/>
          <w:szCs w:val="24"/>
        </w:rPr>
        <w:t>:6167–6173.</w:t>
      </w:r>
    </w:p>
    <w:p w14:paraId="17E37DDC"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Reisch CR, Crabb WM, Gifford SM, Teng Q, Stoudemayer MJ, Moran MA, </w:t>
      </w:r>
      <w:r w:rsidRPr="003D016B">
        <w:rPr>
          <w:rFonts w:ascii="Times" w:hAnsi="Times"/>
          <w:i/>
          <w:iCs/>
          <w:noProof/>
          <w:szCs w:val="24"/>
        </w:rPr>
        <w:t>et al.</w:t>
      </w:r>
      <w:r w:rsidRPr="003D016B">
        <w:rPr>
          <w:rFonts w:ascii="Times" w:hAnsi="Times"/>
          <w:noProof/>
          <w:szCs w:val="24"/>
        </w:rPr>
        <w:t xml:space="preserve"> (2013). Metabolism of dimethylsulphoniopropionate by </w:t>
      </w:r>
      <w:r w:rsidRPr="003D016B">
        <w:rPr>
          <w:rFonts w:ascii="Times" w:hAnsi="Times"/>
          <w:i/>
          <w:iCs/>
          <w:noProof/>
          <w:szCs w:val="24"/>
        </w:rPr>
        <w:t>Ruegeria pomeroyi</w:t>
      </w:r>
      <w:r w:rsidRPr="003D016B">
        <w:rPr>
          <w:rFonts w:ascii="Times" w:hAnsi="Times"/>
          <w:noProof/>
          <w:szCs w:val="24"/>
        </w:rPr>
        <w:t xml:space="preserve"> DSS-3. </w:t>
      </w:r>
      <w:r w:rsidRPr="003D016B">
        <w:rPr>
          <w:rFonts w:ascii="Times" w:hAnsi="Times"/>
          <w:i/>
          <w:iCs/>
          <w:noProof/>
          <w:szCs w:val="24"/>
        </w:rPr>
        <w:t>Mol Microbiol</w:t>
      </w:r>
      <w:r w:rsidRPr="003D016B">
        <w:rPr>
          <w:rFonts w:ascii="Times" w:hAnsi="Times"/>
          <w:noProof/>
          <w:szCs w:val="24"/>
        </w:rPr>
        <w:t xml:space="preserve"> </w:t>
      </w:r>
      <w:r w:rsidRPr="003D016B">
        <w:rPr>
          <w:rFonts w:ascii="Times" w:hAnsi="Times"/>
          <w:b/>
          <w:bCs/>
          <w:noProof/>
          <w:szCs w:val="24"/>
        </w:rPr>
        <w:t>89</w:t>
      </w:r>
      <w:r w:rsidRPr="003D016B">
        <w:rPr>
          <w:rFonts w:ascii="Times" w:hAnsi="Times"/>
          <w:noProof/>
          <w:szCs w:val="24"/>
        </w:rPr>
        <w:t>:774–791.</w:t>
      </w:r>
    </w:p>
    <w:p w14:paraId="0D60136D"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Reisch CR, Moran MA, Whitman WB. (2011). Bacterial catabolism of dimethylsulfoniopropionate (DMSP). </w:t>
      </w:r>
      <w:r w:rsidRPr="003D016B">
        <w:rPr>
          <w:rFonts w:ascii="Times" w:hAnsi="Times"/>
          <w:i/>
          <w:iCs/>
          <w:noProof/>
          <w:szCs w:val="24"/>
        </w:rPr>
        <w:t>Front Microbiol</w:t>
      </w:r>
      <w:r w:rsidRPr="003D016B">
        <w:rPr>
          <w:rFonts w:ascii="Times" w:hAnsi="Times"/>
          <w:noProof/>
          <w:szCs w:val="24"/>
        </w:rPr>
        <w:t xml:space="preserve"> </w:t>
      </w:r>
      <w:r w:rsidRPr="003D016B">
        <w:rPr>
          <w:rFonts w:ascii="Times" w:hAnsi="Times"/>
          <w:b/>
          <w:bCs/>
          <w:noProof/>
          <w:szCs w:val="24"/>
        </w:rPr>
        <w:t>2</w:t>
      </w:r>
      <w:r w:rsidRPr="003D016B">
        <w:rPr>
          <w:rFonts w:ascii="Times" w:hAnsi="Times"/>
          <w:noProof/>
          <w:szCs w:val="24"/>
        </w:rPr>
        <w:t>:172–184.</w:t>
      </w:r>
    </w:p>
    <w:p w14:paraId="39D60069"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Smith CA, Maille GO, Want EJ, Qin C, Trauger SA, Brandon TR, </w:t>
      </w:r>
      <w:r w:rsidRPr="003D016B">
        <w:rPr>
          <w:rFonts w:ascii="Times" w:hAnsi="Times"/>
          <w:i/>
          <w:iCs/>
          <w:noProof/>
          <w:szCs w:val="24"/>
        </w:rPr>
        <w:t>et al.</w:t>
      </w:r>
      <w:r w:rsidRPr="003D016B">
        <w:rPr>
          <w:rFonts w:ascii="Times" w:hAnsi="Times"/>
          <w:noProof/>
          <w:szCs w:val="24"/>
        </w:rPr>
        <w:t xml:space="preserve"> (2005). A metabolite mass spectral database. </w:t>
      </w:r>
      <w:r w:rsidRPr="003D016B">
        <w:rPr>
          <w:rFonts w:ascii="Times" w:hAnsi="Times"/>
          <w:i/>
          <w:iCs/>
          <w:noProof/>
          <w:szCs w:val="24"/>
        </w:rPr>
        <w:t>Ther Drug Monit</w:t>
      </w:r>
      <w:r w:rsidRPr="003D016B">
        <w:rPr>
          <w:rFonts w:ascii="Times" w:hAnsi="Times"/>
          <w:noProof/>
          <w:szCs w:val="24"/>
        </w:rPr>
        <w:t xml:space="preserve"> </w:t>
      </w:r>
      <w:r w:rsidRPr="003D016B">
        <w:rPr>
          <w:rFonts w:ascii="Times" w:hAnsi="Times"/>
          <w:b/>
          <w:bCs/>
          <w:noProof/>
          <w:szCs w:val="24"/>
        </w:rPr>
        <w:t>27</w:t>
      </w:r>
      <w:r w:rsidRPr="003D016B">
        <w:rPr>
          <w:rFonts w:ascii="Times" w:hAnsi="Times"/>
          <w:noProof/>
          <w:szCs w:val="24"/>
        </w:rPr>
        <w:t>:747–751.</w:t>
      </w:r>
    </w:p>
    <w:p w14:paraId="61DA7E61"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Smith CA, Want EJ, O’Maille G, Abagyan R, Siuzdak G. (2006). XCMS: processing mass spectrometry data for metabolite profiling using nonlinear peak alignment, matching, and identification. </w:t>
      </w:r>
      <w:r w:rsidRPr="003D016B">
        <w:rPr>
          <w:rFonts w:ascii="Times" w:hAnsi="Times"/>
          <w:i/>
          <w:iCs/>
          <w:noProof/>
          <w:szCs w:val="24"/>
        </w:rPr>
        <w:t>Anal Chem</w:t>
      </w:r>
      <w:r w:rsidRPr="003D016B">
        <w:rPr>
          <w:rFonts w:ascii="Times" w:hAnsi="Times"/>
          <w:noProof/>
          <w:szCs w:val="24"/>
        </w:rPr>
        <w:t xml:space="preserve"> </w:t>
      </w:r>
      <w:r w:rsidRPr="003D016B">
        <w:rPr>
          <w:rFonts w:ascii="Times" w:hAnsi="Times"/>
          <w:b/>
          <w:bCs/>
          <w:noProof/>
          <w:szCs w:val="24"/>
        </w:rPr>
        <w:t>78</w:t>
      </w:r>
      <w:r w:rsidRPr="003D016B">
        <w:rPr>
          <w:rFonts w:ascii="Times" w:hAnsi="Times"/>
          <w:noProof/>
          <w:szCs w:val="24"/>
        </w:rPr>
        <w:t>:779–787.</w:t>
      </w:r>
    </w:p>
    <w:p w14:paraId="162F3EF6"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Sumner LW, Amberg A, Barrett D, Beale MH, Beger R, Daykin CA, </w:t>
      </w:r>
      <w:r w:rsidRPr="003D016B">
        <w:rPr>
          <w:rFonts w:ascii="Times" w:hAnsi="Times"/>
          <w:i/>
          <w:iCs/>
          <w:noProof/>
          <w:szCs w:val="24"/>
        </w:rPr>
        <w:t>et al.</w:t>
      </w:r>
      <w:r w:rsidRPr="003D016B">
        <w:rPr>
          <w:rFonts w:ascii="Times" w:hAnsi="Times"/>
          <w:noProof/>
          <w:szCs w:val="24"/>
        </w:rPr>
        <w:t xml:space="preserve"> (2007). Proposed minimum reporting standards for chemical analysis: Chemical Analysis Working Group (CAWG) Metabolomics Standards Initiative (MSI). </w:t>
      </w:r>
      <w:r w:rsidRPr="003D016B">
        <w:rPr>
          <w:rFonts w:ascii="Times" w:hAnsi="Times"/>
          <w:i/>
          <w:iCs/>
          <w:noProof/>
          <w:szCs w:val="24"/>
        </w:rPr>
        <w:t>Metabolomics</w:t>
      </w:r>
      <w:r w:rsidRPr="003D016B">
        <w:rPr>
          <w:rFonts w:ascii="Times" w:hAnsi="Times"/>
          <w:noProof/>
          <w:szCs w:val="24"/>
        </w:rPr>
        <w:t xml:space="preserve"> </w:t>
      </w:r>
      <w:r w:rsidRPr="003D016B">
        <w:rPr>
          <w:rFonts w:ascii="Times" w:hAnsi="Times"/>
          <w:b/>
          <w:bCs/>
          <w:noProof/>
          <w:szCs w:val="24"/>
        </w:rPr>
        <w:t>3</w:t>
      </w:r>
      <w:r w:rsidRPr="003D016B">
        <w:rPr>
          <w:rFonts w:ascii="Times" w:hAnsi="Times"/>
          <w:noProof/>
          <w:szCs w:val="24"/>
        </w:rPr>
        <w:t>:211–221.</w:t>
      </w:r>
    </w:p>
    <w:p w14:paraId="2D8F102D"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Tautenhahn R, Böttcher C, Neumann S. (2008). Highly sensitive feature detection for high resolution LC/MS. </w:t>
      </w:r>
      <w:r w:rsidRPr="003D016B">
        <w:rPr>
          <w:rFonts w:ascii="Times" w:hAnsi="Times"/>
          <w:i/>
          <w:iCs/>
          <w:noProof/>
          <w:szCs w:val="24"/>
        </w:rPr>
        <w:t>BMC Bioinformatics</w:t>
      </w:r>
      <w:r w:rsidRPr="003D016B">
        <w:rPr>
          <w:rFonts w:ascii="Times" w:hAnsi="Times"/>
          <w:noProof/>
          <w:szCs w:val="24"/>
        </w:rPr>
        <w:t xml:space="preserve"> </w:t>
      </w:r>
      <w:r w:rsidRPr="003D016B">
        <w:rPr>
          <w:rFonts w:ascii="Times" w:hAnsi="Times"/>
          <w:b/>
          <w:bCs/>
          <w:noProof/>
          <w:szCs w:val="24"/>
        </w:rPr>
        <w:t>9</w:t>
      </w:r>
      <w:r w:rsidRPr="003D016B">
        <w:rPr>
          <w:rFonts w:ascii="Times" w:hAnsi="Times"/>
          <w:noProof/>
          <w:szCs w:val="24"/>
        </w:rPr>
        <w:t>:504–520.</w:t>
      </w:r>
    </w:p>
    <w:p w14:paraId="646C59A6" w14:textId="77777777" w:rsidR="003D016B" w:rsidRPr="003D016B" w:rsidRDefault="003D016B" w:rsidP="003D016B">
      <w:pPr>
        <w:widowControl w:val="0"/>
        <w:autoSpaceDE w:val="0"/>
        <w:autoSpaceDN w:val="0"/>
        <w:adjustRightInd w:val="0"/>
        <w:spacing w:before="100" w:after="100"/>
        <w:rPr>
          <w:rFonts w:ascii="Times" w:hAnsi="Times"/>
          <w:noProof/>
          <w:szCs w:val="24"/>
        </w:rPr>
      </w:pPr>
      <w:r w:rsidRPr="003D016B">
        <w:rPr>
          <w:rFonts w:ascii="Times" w:hAnsi="Times"/>
          <w:noProof/>
          <w:szCs w:val="24"/>
        </w:rPr>
        <w:t xml:space="preserve">Vinaixa M, Samino S, Saez I, Duran J, Guinovart JJ, Yanes O. (2012). A guideline to univariate statistical analysis for LC/MS-based untargeted metabolomics-derived data. </w:t>
      </w:r>
      <w:r w:rsidRPr="003D016B">
        <w:rPr>
          <w:rFonts w:ascii="Times" w:hAnsi="Times"/>
          <w:i/>
          <w:iCs/>
          <w:noProof/>
          <w:szCs w:val="24"/>
        </w:rPr>
        <w:t>Metabolites</w:t>
      </w:r>
      <w:r w:rsidRPr="003D016B">
        <w:rPr>
          <w:rFonts w:ascii="Times" w:hAnsi="Times"/>
          <w:noProof/>
          <w:szCs w:val="24"/>
        </w:rPr>
        <w:t xml:space="preserve"> </w:t>
      </w:r>
      <w:r w:rsidRPr="003D016B">
        <w:rPr>
          <w:rFonts w:ascii="Times" w:hAnsi="Times"/>
          <w:b/>
          <w:bCs/>
          <w:noProof/>
          <w:szCs w:val="24"/>
        </w:rPr>
        <w:t>2</w:t>
      </w:r>
      <w:r w:rsidRPr="003D016B">
        <w:rPr>
          <w:rFonts w:ascii="Times" w:hAnsi="Times"/>
          <w:noProof/>
          <w:szCs w:val="24"/>
        </w:rPr>
        <w:t>:775–795.</w:t>
      </w:r>
    </w:p>
    <w:p w14:paraId="2BB82433" w14:textId="77777777" w:rsidR="003D016B" w:rsidRPr="003D016B" w:rsidRDefault="003D016B" w:rsidP="003D016B">
      <w:pPr>
        <w:widowControl w:val="0"/>
        <w:autoSpaceDE w:val="0"/>
        <w:autoSpaceDN w:val="0"/>
        <w:adjustRightInd w:val="0"/>
        <w:spacing w:before="100" w:after="100"/>
        <w:rPr>
          <w:rFonts w:ascii="Times" w:hAnsi="Times"/>
          <w:noProof/>
        </w:rPr>
      </w:pPr>
      <w:r w:rsidRPr="003D016B">
        <w:rPr>
          <w:rFonts w:ascii="Times" w:hAnsi="Times"/>
          <w:noProof/>
          <w:szCs w:val="24"/>
        </w:rPr>
        <w:t xml:space="preserve">Wolf S, Schmidt S, Müller-Hannemann M, Neumann S. (2010). In silico fragmentation for computer assisted identification of metabolite mass spectra. </w:t>
      </w:r>
      <w:r w:rsidRPr="003D016B">
        <w:rPr>
          <w:rFonts w:ascii="Times" w:hAnsi="Times"/>
          <w:i/>
          <w:iCs/>
          <w:noProof/>
          <w:szCs w:val="24"/>
        </w:rPr>
        <w:t>BMC Bioinformatics</w:t>
      </w:r>
      <w:r w:rsidRPr="003D016B">
        <w:rPr>
          <w:rFonts w:ascii="Times" w:hAnsi="Times"/>
          <w:noProof/>
          <w:szCs w:val="24"/>
        </w:rPr>
        <w:t xml:space="preserve"> </w:t>
      </w:r>
      <w:r w:rsidRPr="003D016B">
        <w:rPr>
          <w:rFonts w:ascii="Times" w:hAnsi="Times"/>
          <w:b/>
          <w:bCs/>
          <w:noProof/>
          <w:szCs w:val="24"/>
        </w:rPr>
        <w:t>11</w:t>
      </w:r>
      <w:r w:rsidRPr="003D016B">
        <w:rPr>
          <w:rFonts w:ascii="Times" w:hAnsi="Times"/>
          <w:noProof/>
          <w:szCs w:val="24"/>
        </w:rPr>
        <w:t>:148–160.</w:t>
      </w:r>
    </w:p>
    <w:p w14:paraId="0DBFCA00" w14:textId="056C27BA" w:rsidR="000D6E2B" w:rsidRDefault="001B17EF" w:rsidP="00FB5144">
      <w:pPr>
        <w:widowControl w:val="0"/>
        <w:autoSpaceDE w:val="0"/>
        <w:autoSpaceDN w:val="0"/>
        <w:adjustRightInd w:val="0"/>
        <w:spacing w:before="100" w:after="100"/>
        <w:rPr>
          <w:rFonts w:eastAsia="Times New Roman"/>
          <w:b/>
          <w:bCs/>
          <w:kern w:val="28"/>
          <w:sz w:val="24"/>
          <w:szCs w:val="24"/>
        </w:rPr>
      </w:pPr>
      <w:r>
        <w:fldChar w:fldCharType="end"/>
      </w:r>
      <w:r w:rsidR="000D6E2B">
        <w:br w:type="page"/>
      </w:r>
    </w:p>
    <w:p w14:paraId="6592F22C" w14:textId="2EB26B01" w:rsidR="001B17EF" w:rsidRPr="00AD51FB" w:rsidRDefault="001B17EF" w:rsidP="001B17EF">
      <w:pPr>
        <w:pStyle w:val="AppendixHead"/>
        <w:rPr>
          <w:b w:val="0"/>
        </w:rPr>
      </w:pPr>
      <w:r w:rsidRPr="005C6541">
        <w:lastRenderedPageBreak/>
        <w:t xml:space="preserve">Table </w:t>
      </w:r>
      <w:r>
        <w:t xml:space="preserve">S1. </w:t>
      </w:r>
      <w:r w:rsidRPr="005C6541">
        <w:t xml:space="preserve">Total number of features based on </w:t>
      </w:r>
      <w:r w:rsidRPr="005C6541">
        <w:rPr>
          <w:i/>
        </w:rPr>
        <w:t>m/z</w:t>
      </w:r>
      <w:r w:rsidRPr="005C6541">
        <w:t xml:space="preserve"> and retention time in the untargeted data.</w:t>
      </w:r>
      <w:r w:rsidRPr="00AD51FB">
        <w:rPr>
          <w:b w:val="0"/>
        </w:rPr>
        <w:t xml:space="preserve"> Blank</w:t>
      </w:r>
      <w:r w:rsidR="001D78A6">
        <w:rPr>
          <w:b w:val="0"/>
        </w:rPr>
        <w:t>-correct</w:t>
      </w:r>
      <w:r w:rsidRPr="00AD51FB">
        <w:rPr>
          <w:b w:val="0"/>
        </w:rPr>
        <w:t>ed refers to the number of features remaining once the controls were accounted for as described in the supplementary methods. The final column lists the number of blank corrected features that had fragmentation patterns associated with them.</w:t>
      </w:r>
    </w:p>
    <w:p w14:paraId="51616F01" w14:textId="77777777" w:rsidR="001B17EF" w:rsidRPr="00217902" w:rsidRDefault="001B17EF" w:rsidP="001B17EF">
      <w:pPr>
        <w:rPr>
          <w:sz w:val="24"/>
          <w:szCs w:val="24"/>
        </w:rPr>
      </w:pPr>
    </w:p>
    <w:tbl>
      <w:tblPr>
        <w:tblStyle w:val="TableGrid"/>
        <w:tblW w:w="513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1249"/>
        <w:gridCol w:w="716"/>
        <w:gridCol w:w="1083"/>
        <w:gridCol w:w="1494"/>
      </w:tblGrid>
      <w:tr w:rsidR="001B17EF" w:rsidRPr="00D712B1" w14:paraId="264F9765" w14:textId="77777777" w:rsidTr="008E6416">
        <w:trPr>
          <w:jc w:val="center"/>
        </w:trPr>
        <w:tc>
          <w:tcPr>
            <w:tcW w:w="1014" w:type="dxa"/>
            <w:tcBorders>
              <w:top w:val="single" w:sz="4" w:space="0" w:color="auto"/>
              <w:bottom w:val="single" w:sz="4" w:space="0" w:color="auto"/>
            </w:tcBorders>
            <w:vAlign w:val="center"/>
          </w:tcPr>
          <w:p w14:paraId="21EC5E38" w14:textId="77777777" w:rsidR="001B17EF" w:rsidRPr="008E6416" w:rsidRDefault="001B17EF" w:rsidP="00F81766">
            <w:pPr>
              <w:jc w:val="center"/>
              <w:rPr>
                <w:rFonts w:eastAsia="Times New Roman"/>
                <w:b/>
                <w:bCs/>
                <w:color w:val="000000"/>
              </w:rPr>
            </w:pPr>
            <w:r w:rsidRPr="008E6416">
              <w:rPr>
                <w:rFonts w:eastAsia="Times New Roman"/>
                <w:b/>
                <w:bCs/>
                <w:color w:val="000000"/>
              </w:rPr>
              <w:t>Ion Mode</w:t>
            </w:r>
          </w:p>
        </w:tc>
        <w:tc>
          <w:tcPr>
            <w:tcW w:w="1281" w:type="dxa"/>
            <w:tcBorders>
              <w:top w:val="single" w:sz="4" w:space="0" w:color="auto"/>
              <w:bottom w:val="single" w:sz="4" w:space="0" w:color="auto"/>
            </w:tcBorders>
            <w:vAlign w:val="center"/>
          </w:tcPr>
          <w:p w14:paraId="03E7508E" w14:textId="77777777" w:rsidR="001B17EF" w:rsidRPr="008E6416" w:rsidRDefault="001B17EF" w:rsidP="00F81766">
            <w:pPr>
              <w:spacing w:before="100" w:beforeAutospacing="1" w:after="100" w:afterAutospacing="1"/>
              <w:jc w:val="center"/>
              <w:rPr>
                <w:rFonts w:eastAsia="Times New Roman"/>
                <w:b/>
                <w:bCs/>
                <w:color w:val="000000"/>
              </w:rPr>
            </w:pPr>
          </w:p>
        </w:tc>
        <w:tc>
          <w:tcPr>
            <w:tcW w:w="825" w:type="dxa"/>
            <w:tcBorders>
              <w:top w:val="single" w:sz="4" w:space="0" w:color="auto"/>
              <w:bottom w:val="single" w:sz="4" w:space="0" w:color="auto"/>
            </w:tcBorders>
            <w:vAlign w:val="center"/>
          </w:tcPr>
          <w:p w14:paraId="5C0A12A1" w14:textId="77777777" w:rsidR="001B17EF" w:rsidRPr="008E6416" w:rsidRDefault="001B17EF" w:rsidP="00F81766">
            <w:pPr>
              <w:jc w:val="center"/>
              <w:rPr>
                <w:rFonts w:eastAsia="Times New Roman"/>
                <w:b/>
                <w:bCs/>
                <w:color w:val="000000"/>
              </w:rPr>
            </w:pPr>
            <w:r w:rsidRPr="008E6416">
              <w:rPr>
                <w:rFonts w:eastAsia="Times New Roman"/>
                <w:b/>
                <w:bCs/>
                <w:color w:val="000000"/>
              </w:rPr>
              <w:t>Total</w:t>
            </w:r>
          </w:p>
        </w:tc>
        <w:tc>
          <w:tcPr>
            <w:tcW w:w="1173" w:type="dxa"/>
            <w:tcBorders>
              <w:top w:val="single" w:sz="4" w:space="0" w:color="auto"/>
              <w:bottom w:val="single" w:sz="4" w:space="0" w:color="auto"/>
            </w:tcBorders>
            <w:vAlign w:val="center"/>
          </w:tcPr>
          <w:p w14:paraId="0979896D" w14:textId="77777777" w:rsidR="001B17EF" w:rsidRPr="008E6416" w:rsidRDefault="001B17EF" w:rsidP="00F81766">
            <w:pPr>
              <w:jc w:val="center"/>
              <w:rPr>
                <w:rFonts w:eastAsia="Times New Roman"/>
                <w:b/>
                <w:bCs/>
                <w:color w:val="000000"/>
              </w:rPr>
            </w:pPr>
            <w:r w:rsidRPr="008E6416">
              <w:rPr>
                <w:rFonts w:eastAsia="Times New Roman"/>
                <w:b/>
                <w:bCs/>
                <w:color w:val="000000"/>
              </w:rPr>
              <w:t>Blank Corrected</w:t>
            </w:r>
          </w:p>
        </w:tc>
        <w:tc>
          <w:tcPr>
            <w:tcW w:w="837" w:type="dxa"/>
            <w:tcBorders>
              <w:top w:val="single" w:sz="4" w:space="0" w:color="auto"/>
              <w:bottom w:val="single" w:sz="4" w:space="0" w:color="auto"/>
            </w:tcBorders>
            <w:vAlign w:val="center"/>
          </w:tcPr>
          <w:p w14:paraId="1699D365" w14:textId="20563D5D" w:rsidR="001B17EF" w:rsidRPr="008E6416" w:rsidRDefault="00AD38EF" w:rsidP="00F81766">
            <w:pPr>
              <w:jc w:val="center"/>
              <w:rPr>
                <w:rFonts w:eastAsia="Times New Roman"/>
                <w:b/>
                <w:bCs/>
                <w:color w:val="000000"/>
              </w:rPr>
            </w:pPr>
            <w:r>
              <w:rPr>
                <w:rFonts w:eastAsia="Times New Roman"/>
                <w:b/>
                <w:bCs/>
                <w:color w:val="000000"/>
              </w:rPr>
              <w:t>Has a Fragmentation Pattern</w:t>
            </w:r>
          </w:p>
        </w:tc>
      </w:tr>
      <w:tr w:rsidR="001B17EF" w:rsidRPr="00D712B1" w14:paraId="10FEE782" w14:textId="77777777" w:rsidTr="008E6416">
        <w:trPr>
          <w:jc w:val="center"/>
        </w:trPr>
        <w:tc>
          <w:tcPr>
            <w:tcW w:w="1014" w:type="dxa"/>
            <w:vMerge w:val="restart"/>
            <w:tcBorders>
              <w:top w:val="single" w:sz="4" w:space="0" w:color="auto"/>
            </w:tcBorders>
            <w:vAlign w:val="center"/>
          </w:tcPr>
          <w:p w14:paraId="566FBF07" w14:textId="77777777" w:rsidR="001B17EF" w:rsidRPr="008E6416" w:rsidRDefault="001B17EF" w:rsidP="00F81766">
            <w:pPr>
              <w:jc w:val="center"/>
              <w:rPr>
                <w:rFonts w:eastAsia="Times New Roman"/>
                <w:bCs/>
                <w:color w:val="000000"/>
              </w:rPr>
            </w:pPr>
            <w:r w:rsidRPr="008E6416">
              <w:rPr>
                <w:rFonts w:eastAsia="Times New Roman"/>
                <w:bCs/>
                <w:color w:val="000000"/>
              </w:rPr>
              <w:t>Positive</w:t>
            </w:r>
          </w:p>
        </w:tc>
        <w:tc>
          <w:tcPr>
            <w:tcW w:w="1281" w:type="dxa"/>
            <w:tcBorders>
              <w:top w:val="single" w:sz="4" w:space="0" w:color="auto"/>
            </w:tcBorders>
            <w:vAlign w:val="center"/>
          </w:tcPr>
          <w:p w14:paraId="1800585F" w14:textId="77777777" w:rsidR="001B17EF" w:rsidRPr="008E6416" w:rsidRDefault="001B17EF" w:rsidP="00F81766">
            <w:pPr>
              <w:jc w:val="center"/>
              <w:rPr>
                <w:rFonts w:eastAsia="Times New Roman"/>
                <w:color w:val="000000"/>
              </w:rPr>
            </w:pPr>
            <w:r w:rsidRPr="008E6416">
              <w:rPr>
                <w:rFonts w:eastAsia="Times New Roman"/>
                <w:color w:val="000000"/>
              </w:rPr>
              <w:t>Intracellular</w:t>
            </w:r>
          </w:p>
        </w:tc>
        <w:tc>
          <w:tcPr>
            <w:tcW w:w="825" w:type="dxa"/>
            <w:tcBorders>
              <w:top w:val="single" w:sz="4" w:space="0" w:color="auto"/>
            </w:tcBorders>
            <w:vAlign w:val="center"/>
          </w:tcPr>
          <w:p w14:paraId="604AEC68" w14:textId="77777777" w:rsidR="001B17EF" w:rsidRPr="008E6416" w:rsidRDefault="001B17EF" w:rsidP="00F81766">
            <w:pPr>
              <w:jc w:val="center"/>
              <w:rPr>
                <w:rFonts w:eastAsia="Times New Roman"/>
                <w:color w:val="000000"/>
              </w:rPr>
            </w:pPr>
            <w:r w:rsidRPr="008E6416">
              <w:rPr>
                <w:rFonts w:eastAsia="Times New Roman"/>
                <w:color w:val="000000"/>
              </w:rPr>
              <w:t>9220</w:t>
            </w:r>
          </w:p>
        </w:tc>
        <w:tc>
          <w:tcPr>
            <w:tcW w:w="1173" w:type="dxa"/>
            <w:tcBorders>
              <w:top w:val="single" w:sz="4" w:space="0" w:color="auto"/>
            </w:tcBorders>
            <w:vAlign w:val="center"/>
          </w:tcPr>
          <w:p w14:paraId="355C3EF4" w14:textId="77777777" w:rsidR="001B17EF" w:rsidRPr="008E6416" w:rsidRDefault="001B17EF" w:rsidP="00F81766">
            <w:pPr>
              <w:jc w:val="center"/>
              <w:rPr>
                <w:rFonts w:eastAsia="Times New Roman"/>
                <w:color w:val="000000"/>
              </w:rPr>
            </w:pPr>
            <w:r w:rsidRPr="008E6416">
              <w:rPr>
                <w:rFonts w:eastAsia="Times New Roman"/>
                <w:color w:val="000000"/>
              </w:rPr>
              <w:t>1117</w:t>
            </w:r>
          </w:p>
        </w:tc>
        <w:tc>
          <w:tcPr>
            <w:tcW w:w="837" w:type="dxa"/>
            <w:tcBorders>
              <w:top w:val="single" w:sz="4" w:space="0" w:color="auto"/>
            </w:tcBorders>
            <w:vAlign w:val="center"/>
          </w:tcPr>
          <w:p w14:paraId="2EE7E312" w14:textId="77777777" w:rsidR="001B17EF" w:rsidRPr="008E6416" w:rsidRDefault="001B17EF" w:rsidP="00F81766">
            <w:pPr>
              <w:jc w:val="center"/>
              <w:rPr>
                <w:rFonts w:eastAsia="Times New Roman"/>
                <w:color w:val="000000"/>
              </w:rPr>
            </w:pPr>
            <w:r w:rsidRPr="008E6416">
              <w:rPr>
                <w:rFonts w:eastAsia="Times New Roman"/>
                <w:color w:val="000000"/>
              </w:rPr>
              <w:t>307</w:t>
            </w:r>
          </w:p>
        </w:tc>
      </w:tr>
      <w:tr w:rsidR="001B17EF" w:rsidRPr="00D712B1" w14:paraId="3AB9D322" w14:textId="77777777" w:rsidTr="008E6416">
        <w:trPr>
          <w:jc w:val="center"/>
        </w:trPr>
        <w:tc>
          <w:tcPr>
            <w:tcW w:w="1014" w:type="dxa"/>
            <w:vMerge/>
            <w:vAlign w:val="center"/>
          </w:tcPr>
          <w:p w14:paraId="1E042206" w14:textId="77777777" w:rsidR="001B17EF" w:rsidRPr="008E6416" w:rsidRDefault="001B17EF" w:rsidP="00F81766">
            <w:pPr>
              <w:spacing w:before="100" w:beforeAutospacing="1" w:after="100" w:afterAutospacing="1"/>
              <w:jc w:val="center"/>
              <w:rPr>
                <w:rFonts w:eastAsia="Times New Roman"/>
                <w:bCs/>
                <w:color w:val="000000"/>
              </w:rPr>
            </w:pPr>
          </w:p>
        </w:tc>
        <w:tc>
          <w:tcPr>
            <w:tcW w:w="1281" w:type="dxa"/>
            <w:vAlign w:val="center"/>
          </w:tcPr>
          <w:p w14:paraId="1F99F1B6" w14:textId="77777777" w:rsidR="001B17EF" w:rsidRPr="008E6416" w:rsidRDefault="001B17EF" w:rsidP="00F81766">
            <w:pPr>
              <w:jc w:val="center"/>
              <w:rPr>
                <w:rFonts w:eastAsia="Times New Roman"/>
                <w:color w:val="000000"/>
              </w:rPr>
            </w:pPr>
            <w:r w:rsidRPr="008E6416">
              <w:rPr>
                <w:rFonts w:eastAsia="Times New Roman"/>
                <w:color w:val="000000"/>
              </w:rPr>
              <w:t>Extracellular</w:t>
            </w:r>
          </w:p>
        </w:tc>
        <w:tc>
          <w:tcPr>
            <w:tcW w:w="825" w:type="dxa"/>
            <w:vAlign w:val="center"/>
          </w:tcPr>
          <w:p w14:paraId="6FDA8910" w14:textId="77777777" w:rsidR="001B17EF" w:rsidRPr="008E6416" w:rsidRDefault="001B17EF" w:rsidP="00F81766">
            <w:pPr>
              <w:jc w:val="center"/>
              <w:rPr>
                <w:rFonts w:eastAsia="Times New Roman"/>
                <w:color w:val="000000"/>
              </w:rPr>
            </w:pPr>
            <w:r w:rsidRPr="008E6416">
              <w:rPr>
                <w:rFonts w:eastAsia="Times New Roman"/>
                <w:color w:val="000000"/>
              </w:rPr>
              <w:t>11724</w:t>
            </w:r>
          </w:p>
        </w:tc>
        <w:tc>
          <w:tcPr>
            <w:tcW w:w="1173" w:type="dxa"/>
            <w:vAlign w:val="center"/>
          </w:tcPr>
          <w:p w14:paraId="2DC922A0" w14:textId="77777777" w:rsidR="001B17EF" w:rsidRPr="008E6416" w:rsidRDefault="001B17EF" w:rsidP="00F81766">
            <w:pPr>
              <w:jc w:val="center"/>
              <w:rPr>
                <w:rFonts w:eastAsia="Times New Roman"/>
                <w:color w:val="000000"/>
              </w:rPr>
            </w:pPr>
            <w:r w:rsidRPr="008E6416">
              <w:rPr>
                <w:rFonts w:eastAsia="Times New Roman"/>
                <w:color w:val="000000"/>
              </w:rPr>
              <w:t>2379</w:t>
            </w:r>
          </w:p>
        </w:tc>
        <w:tc>
          <w:tcPr>
            <w:tcW w:w="837" w:type="dxa"/>
            <w:vAlign w:val="center"/>
          </w:tcPr>
          <w:p w14:paraId="184218B0" w14:textId="77777777" w:rsidR="001B17EF" w:rsidRPr="008E6416" w:rsidRDefault="001B17EF" w:rsidP="00F81766">
            <w:pPr>
              <w:jc w:val="center"/>
              <w:rPr>
                <w:rFonts w:eastAsia="Times New Roman"/>
                <w:color w:val="000000"/>
              </w:rPr>
            </w:pPr>
            <w:r w:rsidRPr="008E6416">
              <w:rPr>
                <w:rFonts w:eastAsia="Times New Roman"/>
                <w:color w:val="000000"/>
              </w:rPr>
              <w:t>448</w:t>
            </w:r>
          </w:p>
        </w:tc>
      </w:tr>
      <w:tr w:rsidR="001B17EF" w:rsidRPr="00D712B1" w14:paraId="08A95583" w14:textId="77777777" w:rsidTr="008E6416">
        <w:trPr>
          <w:jc w:val="center"/>
        </w:trPr>
        <w:tc>
          <w:tcPr>
            <w:tcW w:w="1014" w:type="dxa"/>
            <w:vMerge w:val="restart"/>
            <w:vAlign w:val="center"/>
          </w:tcPr>
          <w:p w14:paraId="05E585DD" w14:textId="77777777" w:rsidR="001B17EF" w:rsidRPr="008E6416" w:rsidRDefault="001B17EF" w:rsidP="00F81766">
            <w:pPr>
              <w:jc w:val="center"/>
              <w:rPr>
                <w:rFonts w:eastAsia="Times New Roman"/>
                <w:bCs/>
                <w:color w:val="000000"/>
              </w:rPr>
            </w:pPr>
            <w:r w:rsidRPr="008E6416">
              <w:rPr>
                <w:rFonts w:eastAsia="Times New Roman"/>
                <w:bCs/>
                <w:color w:val="000000"/>
              </w:rPr>
              <w:t>Negative</w:t>
            </w:r>
          </w:p>
        </w:tc>
        <w:tc>
          <w:tcPr>
            <w:tcW w:w="1281" w:type="dxa"/>
            <w:vAlign w:val="center"/>
          </w:tcPr>
          <w:p w14:paraId="514D1FD7" w14:textId="77777777" w:rsidR="001B17EF" w:rsidRPr="008E6416" w:rsidRDefault="001B17EF" w:rsidP="00F81766">
            <w:pPr>
              <w:jc w:val="center"/>
              <w:rPr>
                <w:rFonts w:eastAsia="Times New Roman"/>
                <w:color w:val="000000"/>
              </w:rPr>
            </w:pPr>
            <w:r w:rsidRPr="008E6416">
              <w:rPr>
                <w:rFonts w:eastAsia="Times New Roman"/>
                <w:color w:val="000000"/>
              </w:rPr>
              <w:t>Intracellular</w:t>
            </w:r>
          </w:p>
        </w:tc>
        <w:tc>
          <w:tcPr>
            <w:tcW w:w="825" w:type="dxa"/>
            <w:vAlign w:val="center"/>
          </w:tcPr>
          <w:p w14:paraId="16CB498F" w14:textId="77777777" w:rsidR="001B17EF" w:rsidRPr="008E6416" w:rsidRDefault="001B17EF" w:rsidP="00F81766">
            <w:pPr>
              <w:jc w:val="center"/>
              <w:rPr>
                <w:rFonts w:eastAsia="Times New Roman"/>
                <w:color w:val="000000"/>
              </w:rPr>
            </w:pPr>
            <w:r w:rsidRPr="008E6416">
              <w:rPr>
                <w:rFonts w:eastAsia="Times New Roman"/>
                <w:color w:val="000000"/>
              </w:rPr>
              <w:t>4646</w:t>
            </w:r>
          </w:p>
        </w:tc>
        <w:tc>
          <w:tcPr>
            <w:tcW w:w="1173" w:type="dxa"/>
            <w:vAlign w:val="center"/>
          </w:tcPr>
          <w:p w14:paraId="0FD1AD3F" w14:textId="77777777" w:rsidR="001B17EF" w:rsidRPr="008E6416" w:rsidRDefault="001B17EF" w:rsidP="00F81766">
            <w:pPr>
              <w:jc w:val="center"/>
              <w:rPr>
                <w:rFonts w:eastAsia="Times New Roman"/>
                <w:color w:val="000000"/>
              </w:rPr>
            </w:pPr>
            <w:r w:rsidRPr="008E6416">
              <w:rPr>
                <w:rFonts w:eastAsia="Times New Roman"/>
                <w:color w:val="000000"/>
              </w:rPr>
              <w:t>897</w:t>
            </w:r>
          </w:p>
        </w:tc>
        <w:tc>
          <w:tcPr>
            <w:tcW w:w="837" w:type="dxa"/>
            <w:vAlign w:val="center"/>
          </w:tcPr>
          <w:p w14:paraId="79F0097F" w14:textId="77777777" w:rsidR="001B17EF" w:rsidRPr="008E6416" w:rsidRDefault="001B17EF" w:rsidP="00F81766">
            <w:pPr>
              <w:jc w:val="center"/>
              <w:rPr>
                <w:rFonts w:eastAsia="Times New Roman"/>
                <w:color w:val="000000"/>
              </w:rPr>
            </w:pPr>
            <w:r w:rsidRPr="008E6416">
              <w:rPr>
                <w:rFonts w:eastAsia="Times New Roman"/>
                <w:color w:val="000000"/>
              </w:rPr>
              <w:t>229</w:t>
            </w:r>
          </w:p>
        </w:tc>
      </w:tr>
      <w:tr w:rsidR="001B17EF" w:rsidRPr="00D712B1" w14:paraId="6B818EDA" w14:textId="77777777" w:rsidTr="008E6416">
        <w:trPr>
          <w:jc w:val="center"/>
        </w:trPr>
        <w:tc>
          <w:tcPr>
            <w:tcW w:w="1014" w:type="dxa"/>
            <w:vMerge/>
            <w:vAlign w:val="center"/>
          </w:tcPr>
          <w:p w14:paraId="6342262E" w14:textId="77777777" w:rsidR="001B17EF" w:rsidRPr="008E6416" w:rsidRDefault="001B17EF" w:rsidP="00F81766">
            <w:pPr>
              <w:spacing w:before="100" w:beforeAutospacing="1" w:after="100" w:afterAutospacing="1"/>
              <w:jc w:val="center"/>
              <w:rPr>
                <w:rFonts w:eastAsia="Times New Roman"/>
                <w:bCs/>
                <w:color w:val="000000"/>
              </w:rPr>
            </w:pPr>
          </w:p>
        </w:tc>
        <w:tc>
          <w:tcPr>
            <w:tcW w:w="1281" w:type="dxa"/>
            <w:vAlign w:val="center"/>
          </w:tcPr>
          <w:p w14:paraId="7BBF9743" w14:textId="77777777" w:rsidR="001B17EF" w:rsidRPr="008E6416" w:rsidRDefault="001B17EF" w:rsidP="00F81766">
            <w:pPr>
              <w:jc w:val="center"/>
              <w:rPr>
                <w:rFonts w:eastAsia="Times New Roman"/>
                <w:color w:val="000000"/>
              </w:rPr>
            </w:pPr>
            <w:r w:rsidRPr="008E6416">
              <w:rPr>
                <w:rFonts w:eastAsia="Times New Roman"/>
                <w:color w:val="000000"/>
              </w:rPr>
              <w:t>Extracellular</w:t>
            </w:r>
          </w:p>
        </w:tc>
        <w:tc>
          <w:tcPr>
            <w:tcW w:w="825" w:type="dxa"/>
            <w:vAlign w:val="center"/>
          </w:tcPr>
          <w:p w14:paraId="001ADC68" w14:textId="77777777" w:rsidR="001B17EF" w:rsidRPr="008E6416" w:rsidRDefault="001B17EF" w:rsidP="00F81766">
            <w:pPr>
              <w:jc w:val="center"/>
              <w:rPr>
                <w:rFonts w:eastAsia="Times New Roman"/>
                <w:color w:val="000000"/>
              </w:rPr>
            </w:pPr>
            <w:r w:rsidRPr="008E6416">
              <w:rPr>
                <w:rFonts w:eastAsia="Times New Roman"/>
                <w:color w:val="000000"/>
              </w:rPr>
              <w:t>13543</w:t>
            </w:r>
          </w:p>
        </w:tc>
        <w:tc>
          <w:tcPr>
            <w:tcW w:w="1173" w:type="dxa"/>
            <w:vAlign w:val="center"/>
          </w:tcPr>
          <w:p w14:paraId="21862706" w14:textId="77777777" w:rsidR="001B17EF" w:rsidRPr="008E6416" w:rsidRDefault="001B17EF" w:rsidP="00F81766">
            <w:pPr>
              <w:jc w:val="center"/>
              <w:rPr>
                <w:rFonts w:eastAsia="Times New Roman"/>
                <w:color w:val="000000"/>
              </w:rPr>
            </w:pPr>
            <w:r w:rsidRPr="008E6416">
              <w:rPr>
                <w:rFonts w:eastAsia="Times New Roman"/>
                <w:color w:val="000000"/>
              </w:rPr>
              <w:t>1686</w:t>
            </w:r>
          </w:p>
        </w:tc>
        <w:tc>
          <w:tcPr>
            <w:tcW w:w="837" w:type="dxa"/>
            <w:vAlign w:val="center"/>
          </w:tcPr>
          <w:p w14:paraId="3293CF39" w14:textId="77777777" w:rsidR="001B17EF" w:rsidRPr="008E6416" w:rsidRDefault="001B17EF" w:rsidP="00F81766">
            <w:pPr>
              <w:jc w:val="center"/>
              <w:rPr>
                <w:rFonts w:eastAsia="Times New Roman"/>
                <w:color w:val="000000"/>
              </w:rPr>
            </w:pPr>
            <w:r w:rsidRPr="008E6416">
              <w:rPr>
                <w:rFonts w:eastAsia="Times New Roman"/>
                <w:color w:val="000000"/>
              </w:rPr>
              <w:t>396</w:t>
            </w:r>
          </w:p>
        </w:tc>
      </w:tr>
    </w:tbl>
    <w:p w14:paraId="64523688" w14:textId="77777777" w:rsidR="001B17EF" w:rsidRPr="00217902" w:rsidRDefault="001B17EF" w:rsidP="001B17EF">
      <w:pPr>
        <w:rPr>
          <w:rFonts w:eastAsia="Times New Roman"/>
          <w:bCs/>
          <w:kern w:val="36"/>
          <w:sz w:val="24"/>
          <w:szCs w:val="24"/>
        </w:rPr>
      </w:pPr>
    </w:p>
    <w:p w14:paraId="0DC3F1DF" w14:textId="77777777" w:rsidR="000E1704" w:rsidRDefault="000E1704">
      <w:pPr>
        <w:rPr>
          <w:b/>
          <w:sz w:val="24"/>
          <w:szCs w:val="24"/>
        </w:rPr>
      </w:pPr>
      <w:r>
        <w:rPr>
          <w:b/>
          <w:sz w:val="24"/>
          <w:szCs w:val="24"/>
        </w:rPr>
        <w:br w:type="page"/>
      </w:r>
    </w:p>
    <w:p w14:paraId="0A952840" w14:textId="66DFC280" w:rsidR="000E1704" w:rsidRDefault="000E1704" w:rsidP="001B17EF">
      <w:pPr>
        <w:rPr>
          <w:rFonts w:eastAsia="Times New Roman"/>
          <w:bCs/>
          <w:kern w:val="36"/>
          <w:sz w:val="24"/>
          <w:szCs w:val="24"/>
        </w:rPr>
      </w:pPr>
      <w:r w:rsidRPr="00CB1CEC">
        <w:rPr>
          <w:b/>
          <w:sz w:val="24"/>
          <w:szCs w:val="24"/>
        </w:rPr>
        <w:lastRenderedPageBreak/>
        <w:t xml:space="preserve">Table </w:t>
      </w:r>
      <w:r w:rsidR="00A870F7">
        <w:rPr>
          <w:b/>
          <w:sz w:val="24"/>
          <w:szCs w:val="24"/>
        </w:rPr>
        <w:t>S</w:t>
      </w:r>
      <w:r>
        <w:rPr>
          <w:b/>
          <w:sz w:val="24"/>
          <w:szCs w:val="24"/>
        </w:rPr>
        <w:t>2:</w:t>
      </w:r>
      <w:r w:rsidRPr="00CB1CEC">
        <w:rPr>
          <w:b/>
        </w:rPr>
        <w:t xml:space="preserve"> </w:t>
      </w:r>
      <w:r w:rsidRPr="00CB1CEC">
        <w:rPr>
          <w:b/>
          <w:sz w:val="24"/>
          <w:szCs w:val="24"/>
        </w:rPr>
        <w:t>Characteristics of intra- and extracellular metabolites observed in two substrate treatments.</w:t>
      </w:r>
      <w:r w:rsidRPr="00F7387E">
        <w:rPr>
          <w:sz w:val="24"/>
          <w:szCs w:val="24"/>
        </w:rPr>
        <w:t xml:space="preserve"> Columns 2, 3, 4: the number of features found in both substrates compared to the features found in </w:t>
      </w:r>
      <w:r>
        <w:rPr>
          <w:sz w:val="24"/>
          <w:szCs w:val="24"/>
        </w:rPr>
        <w:t>one</w:t>
      </w:r>
      <w:r w:rsidRPr="00F7387E">
        <w:rPr>
          <w:sz w:val="24"/>
          <w:szCs w:val="24"/>
        </w:rPr>
        <w:t xml:space="preserve"> treatment. Columns 5, 6, 7: the </w:t>
      </w:r>
      <w:r w:rsidR="00E4729C">
        <w:rPr>
          <w:sz w:val="24"/>
          <w:szCs w:val="24"/>
        </w:rPr>
        <w:t>percentage</w:t>
      </w:r>
      <w:r w:rsidRPr="00F7387E">
        <w:rPr>
          <w:sz w:val="24"/>
          <w:szCs w:val="24"/>
        </w:rPr>
        <w:t xml:space="preserve"> of features </w:t>
      </w:r>
      <w:r>
        <w:rPr>
          <w:sz w:val="24"/>
          <w:szCs w:val="24"/>
        </w:rPr>
        <w:t>at 60 hours in</w:t>
      </w:r>
      <w:r w:rsidRPr="00F7387E">
        <w:rPr>
          <w:sz w:val="24"/>
          <w:szCs w:val="24"/>
        </w:rPr>
        <w:t xml:space="preserve"> the DMSP treatment whose concentration (in peak area / cell) was 5 times higher than in the propionate treatment, features 5 times higher in the propionate treatment, feature peak area was approximately the same in both treatments (equal), Columns 8, 9, 10: the same</w:t>
      </w:r>
      <w:r>
        <w:rPr>
          <w:sz w:val="24"/>
          <w:szCs w:val="24"/>
        </w:rPr>
        <w:t xml:space="preserve"> data as</w:t>
      </w:r>
      <w:r w:rsidRPr="00F7387E">
        <w:rPr>
          <w:sz w:val="24"/>
          <w:szCs w:val="24"/>
        </w:rPr>
        <w:t xml:space="preserve"> columns</w:t>
      </w:r>
      <w:r>
        <w:rPr>
          <w:sz w:val="24"/>
          <w:szCs w:val="24"/>
        </w:rPr>
        <w:t xml:space="preserve"> 5-7</w:t>
      </w:r>
      <w:r w:rsidRPr="00F7387E">
        <w:rPr>
          <w:sz w:val="24"/>
          <w:szCs w:val="24"/>
        </w:rPr>
        <w:t xml:space="preserve">, </w:t>
      </w:r>
      <w:r>
        <w:rPr>
          <w:sz w:val="24"/>
          <w:szCs w:val="24"/>
        </w:rPr>
        <w:t>at 72 hours</w:t>
      </w:r>
      <w:r w:rsidRPr="00F7387E">
        <w:rPr>
          <w:sz w:val="24"/>
          <w:szCs w:val="24"/>
        </w:rPr>
        <w:t>.</w:t>
      </w:r>
    </w:p>
    <w:tbl>
      <w:tblPr>
        <w:tblStyle w:val="TableGrid"/>
        <w:tblW w:w="10080" w:type="dxa"/>
        <w:jc w:val="center"/>
        <w:tblLayout w:type="fixed"/>
        <w:tblLook w:val="04A0" w:firstRow="1" w:lastRow="0" w:firstColumn="1" w:lastColumn="0" w:noHBand="0" w:noVBand="1"/>
      </w:tblPr>
      <w:tblGrid>
        <w:gridCol w:w="815"/>
        <w:gridCol w:w="23"/>
        <w:gridCol w:w="861"/>
        <w:gridCol w:w="1001"/>
        <w:gridCol w:w="1440"/>
        <w:gridCol w:w="900"/>
        <w:gridCol w:w="1350"/>
        <w:gridCol w:w="796"/>
        <w:gridCol w:w="843"/>
        <w:gridCol w:w="1277"/>
        <w:gridCol w:w="774"/>
      </w:tblGrid>
      <w:tr w:rsidR="000E1704" w:rsidRPr="00DC3695" w14:paraId="66B7435B" w14:textId="77777777" w:rsidTr="000E1704">
        <w:trPr>
          <w:trHeight w:val="466"/>
          <w:jc w:val="center"/>
        </w:trPr>
        <w:tc>
          <w:tcPr>
            <w:tcW w:w="838" w:type="dxa"/>
            <w:gridSpan w:val="2"/>
            <w:tcBorders>
              <w:left w:val="nil"/>
              <w:bottom w:val="single" w:sz="4" w:space="0" w:color="auto"/>
              <w:right w:val="nil"/>
            </w:tcBorders>
            <w:vAlign w:val="center"/>
          </w:tcPr>
          <w:p w14:paraId="1C4D0D15" w14:textId="77777777" w:rsidR="000E1704" w:rsidRPr="003843B5" w:rsidRDefault="000E1704" w:rsidP="000E1704">
            <w:pPr>
              <w:jc w:val="center"/>
              <w:rPr>
                <w:b/>
              </w:rPr>
            </w:pPr>
            <w:r w:rsidRPr="003843B5">
              <w:rPr>
                <w:b/>
              </w:rPr>
              <w:t>Ion Mode</w:t>
            </w:r>
          </w:p>
        </w:tc>
        <w:tc>
          <w:tcPr>
            <w:tcW w:w="3302" w:type="dxa"/>
            <w:gridSpan w:val="3"/>
            <w:tcBorders>
              <w:left w:val="nil"/>
              <w:bottom w:val="single" w:sz="4" w:space="0" w:color="auto"/>
              <w:right w:val="nil"/>
            </w:tcBorders>
            <w:vAlign w:val="center"/>
          </w:tcPr>
          <w:p w14:paraId="52FB94A7" w14:textId="77777777" w:rsidR="000E1704" w:rsidRPr="003843B5" w:rsidRDefault="000E1704" w:rsidP="000E1704">
            <w:pPr>
              <w:jc w:val="center"/>
              <w:rPr>
                <w:rFonts w:eastAsiaTheme="majorEastAsia"/>
                <w:b/>
                <w:bCs/>
                <w:i/>
                <w:iCs/>
                <w:color w:val="404040" w:themeColor="text1" w:themeTint="BF"/>
              </w:rPr>
            </w:pPr>
            <w:r w:rsidRPr="003843B5">
              <w:rPr>
                <w:b/>
              </w:rPr>
              <w:t>Presence/absence</w:t>
            </w:r>
          </w:p>
        </w:tc>
        <w:tc>
          <w:tcPr>
            <w:tcW w:w="5940" w:type="dxa"/>
            <w:gridSpan w:val="6"/>
            <w:tcBorders>
              <w:left w:val="nil"/>
              <w:bottom w:val="single" w:sz="4" w:space="0" w:color="auto"/>
              <w:right w:val="nil"/>
            </w:tcBorders>
            <w:vAlign w:val="center"/>
          </w:tcPr>
          <w:p w14:paraId="1882A316" w14:textId="77777777" w:rsidR="000E1704" w:rsidRPr="003843B5" w:rsidRDefault="000E1704" w:rsidP="000E1704">
            <w:pPr>
              <w:jc w:val="center"/>
              <w:rPr>
                <w:b/>
              </w:rPr>
            </w:pPr>
            <w:r w:rsidRPr="003843B5">
              <w:rPr>
                <w:b/>
              </w:rPr>
              <w:t>Concentrations (Peak area / cell)</w:t>
            </w:r>
          </w:p>
        </w:tc>
      </w:tr>
      <w:tr w:rsidR="000E1704" w:rsidRPr="00DC3695" w14:paraId="51BC0E49" w14:textId="77777777" w:rsidTr="000E1704">
        <w:trPr>
          <w:trHeight w:val="247"/>
          <w:jc w:val="center"/>
        </w:trPr>
        <w:tc>
          <w:tcPr>
            <w:tcW w:w="10080" w:type="dxa"/>
            <w:gridSpan w:val="11"/>
            <w:tcBorders>
              <w:top w:val="single" w:sz="4" w:space="0" w:color="auto"/>
              <w:left w:val="nil"/>
              <w:bottom w:val="single" w:sz="4" w:space="0" w:color="auto"/>
              <w:right w:val="nil"/>
            </w:tcBorders>
            <w:vAlign w:val="center"/>
          </w:tcPr>
          <w:p w14:paraId="1F9FD506" w14:textId="77777777" w:rsidR="000E1704" w:rsidRPr="003843B5" w:rsidRDefault="000E1704" w:rsidP="000E1704">
            <w:pPr>
              <w:jc w:val="center"/>
            </w:pPr>
            <w:r w:rsidRPr="003843B5">
              <w:t>Intracellular</w:t>
            </w:r>
          </w:p>
        </w:tc>
      </w:tr>
      <w:tr w:rsidR="000E1704" w:rsidRPr="00DC3695" w14:paraId="522129A9" w14:textId="77777777" w:rsidTr="000E1704">
        <w:trPr>
          <w:trHeight w:val="234"/>
          <w:jc w:val="center"/>
        </w:trPr>
        <w:tc>
          <w:tcPr>
            <w:tcW w:w="815" w:type="dxa"/>
            <w:vMerge w:val="restart"/>
            <w:tcBorders>
              <w:top w:val="single" w:sz="4" w:space="0" w:color="auto"/>
              <w:left w:val="nil"/>
              <w:bottom w:val="single" w:sz="4" w:space="0" w:color="auto"/>
              <w:right w:val="nil"/>
            </w:tcBorders>
            <w:vAlign w:val="center"/>
          </w:tcPr>
          <w:p w14:paraId="367CEED2" w14:textId="77777777" w:rsidR="000E1704" w:rsidRPr="003843B5" w:rsidRDefault="000E1704" w:rsidP="000E1704">
            <w:pPr>
              <w:jc w:val="center"/>
            </w:pPr>
          </w:p>
        </w:tc>
        <w:tc>
          <w:tcPr>
            <w:tcW w:w="884" w:type="dxa"/>
            <w:gridSpan w:val="2"/>
            <w:vMerge w:val="restart"/>
            <w:tcBorders>
              <w:top w:val="single" w:sz="4" w:space="0" w:color="auto"/>
              <w:left w:val="nil"/>
              <w:bottom w:val="single" w:sz="4" w:space="0" w:color="auto"/>
              <w:right w:val="nil"/>
            </w:tcBorders>
            <w:vAlign w:val="center"/>
          </w:tcPr>
          <w:p w14:paraId="71E2C222" w14:textId="77777777" w:rsidR="000E1704" w:rsidRPr="003843B5" w:rsidRDefault="000E1704" w:rsidP="000E1704">
            <w:pPr>
              <w:jc w:val="center"/>
            </w:pPr>
          </w:p>
          <w:p w14:paraId="233E7602" w14:textId="77777777" w:rsidR="000E1704" w:rsidRPr="003843B5" w:rsidRDefault="000E1704" w:rsidP="000E1704">
            <w:pPr>
              <w:jc w:val="center"/>
              <w:rPr>
                <w:rFonts w:eastAsiaTheme="majorEastAsia"/>
                <w:b/>
                <w:bCs/>
                <w:i/>
                <w:iCs/>
                <w:color w:val="404040" w:themeColor="text1" w:themeTint="BF"/>
              </w:rPr>
            </w:pPr>
            <w:r w:rsidRPr="003843B5">
              <w:t>DMSP</w:t>
            </w:r>
          </w:p>
        </w:tc>
        <w:tc>
          <w:tcPr>
            <w:tcW w:w="1001" w:type="dxa"/>
            <w:vMerge w:val="restart"/>
            <w:tcBorders>
              <w:top w:val="single" w:sz="4" w:space="0" w:color="auto"/>
              <w:left w:val="nil"/>
              <w:bottom w:val="single" w:sz="4" w:space="0" w:color="auto"/>
              <w:right w:val="nil"/>
            </w:tcBorders>
            <w:vAlign w:val="center"/>
          </w:tcPr>
          <w:p w14:paraId="2E41F4AF" w14:textId="77777777" w:rsidR="000E1704" w:rsidRPr="003843B5" w:rsidRDefault="000E1704" w:rsidP="000E1704">
            <w:pPr>
              <w:jc w:val="center"/>
            </w:pPr>
          </w:p>
          <w:p w14:paraId="33549BC4" w14:textId="77777777" w:rsidR="000E1704" w:rsidRPr="003843B5" w:rsidRDefault="000E1704" w:rsidP="000E1704">
            <w:pPr>
              <w:jc w:val="center"/>
              <w:rPr>
                <w:rFonts w:eastAsiaTheme="majorEastAsia"/>
                <w:b/>
                <w:bCs/>
                <w:i/>
                <w:iCs/>
                <w:color w:val="404040" w:themeColor="text1" w:themeTint="BF"/>
              </w:rPr>
            </w:pPr>
            <w:r w:rsidRPr="003843B5">
              <w:t>Overlap</w:t>
            </w:r>
          </w:p>
        </w:tc>
        <w:tc>
          <w:tcPr>
            <w:tcW w:w="1440" w:type="dxa"/>
            <w:vMerge w:val="restart"/>
            <w:tcBorders>
              <w:top w:val="single" w:sz="4" w:space="0" w:color="auto"/>
              <w:left w:val="nil"/>
              <w:bottom w:val="single" w:sz="4" w:space="0" w:color="auto"/>
              <w:right w:val="nil"/>
            </w:tcBorders>
            <w:vAlign w:val="center"/>
          </w:tcPr>
          <w:p w14:paraId="4FE87EE6" w14:textId="77777777" w:rsidR="000E1704" w:rsidRPr="003843B5" w:rsidRDefault="000E1704" w:rsidP="000E1704">
            <w:pPr>
              <w:jc w:val="center"/>
            </w:pPr>
          </w:p>
          <w:p w14:paraId="25592F73" w14:textId="77777777" w:rsidR="000E1704" w:rsidRPr="003843B5" w:rsidRDefault="000E1704" w:rsidP="000E1704">
            <w:pPr>
              <w:jc w:val="center"/>
              <w:rPr>
                <w:rFonts w:eastAsiaTheme="majorEastAsia"/>
                <w:b/>
                <w:bCs/>
                <w:i/>
                <w:iCs/>
                <w:color w:val="404040" w:themeColor="text1" w:themeTint="BF"/>
              </w:rPr>
            </w:pPr>
            <w:r w:rsidRPr="003843B5">
              <w:t>Propionate</w:t>
            </w:r>
          </w:p>
        </w:tc>
        <w:tc>
          <w:tcPr>
            <w:tcW w:w="3046" w:type="dxa"/>
            <w:gridSpan w:val="3"/>
            <w:tcBorders>
              <w:top w:val="single" w:sz="4" w:space="0" w:color="auto"/>
              <w:left w:val="nil"/>
              <w:bottom w:val="single" w:sz="4" w:space="0" w:color="auto"/>
              <w:right w:val="nil"/>
            </w:tcBorders>
            <w:vAlign w:val="center"/>
          </w:tcPr>
          <w:p w14:paraId="697E05D9" w14:textId="77777777" w:rsidR="000E1704" w:rsidRPr="003843B5" w:rsidRDefault="000E1704" w:rsidP="000E1704">
            <w:pPr>
              <w:jc w:val="center"/>
              <w:rPr>
                <w:rFonts w:eastAsiaTheme="majorEastAsia"/>
                <w:bCs/>
                <w:iCs/>
                <w:color w:val="404040" w:themeColor="text1" w:themeTint="BF"/>
              </w:rPr>
            </w:pPr>
            <w:r w:rsidRPr="003843B5">
              <w:rPr>
                <w:rFonts w:eastAsiaTheme="majorEastAsia"/>
                <w:bCs/>
                <w:iCs/>
                <w:color w:val="404040" w:themeColor="text1" w:themeTint="BF"/>
              </w:rPr>
              <w:t>60 hours</w:t>
            </w:r>
          </w:p>
        </w:tc>
        <w:tc>
          <w:tcPr>
            <w:tcW w:w="2894" w:type="dxa"/>
            <w:gridSpan w:val="3"/>
            <w:tcBorders>
              <w:top w:val="single" w:sz="4" w:space="0" w:color="auto"/>
              <w:left w:val="nil"/>
              <w:bottom w:val="single" w:sz="4" w:space="0" w:color="auto"/>
              <w:right w:val="nil"/>
            </w:tcBorders>
            <w:vAlign w:val="center"/>
          </w:tcPr>
          <w:p w14:paraId="22B34314" w14:textId="77777777" w:rsidR="000E1704" w:rsidRPr="003843B5" w:rsidRDefault="000E1704" w:rsidP="000E1704">
            <w:pPr>
              <w:jc w:val="center"/>
              <w:rPr>
                <w:rFonts w:eastAsiaTheme="majorEastAsia"/>
                <w:bCs/>
                <w:iCs/>
                <w:color w:val="404040" w:themeColor="text1" w:themeTint="BF"/>
              </w:rPr>
            </w:pPr>
            <w:r w:rsidRPr="003843B5">
              <w:rPr>
                <w:rFonts w:eastAsiaTheme="majorEastAsia"/>
                <w:bCs/>
                <w:iCs/>
                <w:color w:val="404040" w:themeColor="text1" w:themeTint="BF"/>
              </w:rPr>
              <w:t>72 hours</w:t>
            </w:r>
          </w:p>
        </w:tc>
      </w:tr>
      <w:tr w:rsidR="000E1704" w:rsidRPr="00DC3695" w14:paraId="2BB0D7CB" w14:textId="77777777" w:rsidTr="000E1704">
        <w:trPr>
          <w:trHeight w:val="481"/>
          <w:jc w:val="center"/>
        </w:trPr>
        <w:tc>
          <w:tcPr>
            <w:tcW w:w="815" w:type="dxa"/>
            <w:vMerge/>
            <w:tcBorders>
              <w:top w:val="single" w:sz="4" w:space="0" w:color="auto"/>
              <w:left w:val="nil"/>
              <w:bottom w:val="single" w:sz="4" w:space="0" w:color="auto"/>
              <w:right w:val="nil"/>
            </w:tcBorders>
            <w:vAlign w:val="center"/>
          </w:tcPr>
          <w:p w14:paraId="5D48189A" w14:textId="77777777" w:rsidR="000E1704" w:rsidRPr="003843B5" w:rsidRDefault="000E1704" w:rsidP="000E1704">
            <w:pPr>
              <w:jc w:val="center"/>
            </w:pPr>
          </w:p>
        </w:tc>
        <w:tc>
          <w:tcPr>
            <w:tcW w:w="884" w:type="dxa"/>
            <w:gridSpan w:val="2"/>
            <w:vMerge/>
            <w:tcBorders>
              <w:top w:val="single" w:sz="4" w:space="0" w:color="auto"/>
              <w:left w:val="nil"/>
              <w:bottom w:val="single" w:sz="4" w:space="0" w:color="auto"/>
              <w:right w:val="nil"/>
            </w:tcBorders>
            <w:vAlign w:val="center"/>
          </w:tcPr>
          <w:p w14:paraId="31E4AE7A" w14:textId="77777777" w:rsidR="000E1704" w:rsidRPr="003843B5" w:rsidRDefault="000E1704" w:rsidP="000E1704">
            <w:pPr>
              <w:jc w:val="center"/>
            </w:pPr>
          </w:p>
        </w:tc>
        <w:tc>
          <w:tcPr>
            <w:tcW w:w="1001" w:type="dxa"/>
            <w:vMerge/>
            <w:tcBorders>
              <w:top w:val="single" w:sz="4" w:space="0" w:color="auto"/>
              <w:left w:val="nil"/>
              <w:bottom w:val="single" w:sz="4" w:space="0" w:color="auto"/>
              <w:right w:val="nil"/>
            </w:tcBorders>
            <w:vAlign w:val="center"/>
          </w:tcPr>
          <w:p w14:paraId="2D0652B1" w14:textId="77777777" w:rsidR="000E1704" w:rsidRPr="003843B5" w:rsidRDefault="000E1704" w:rsidP="000E1704">
            <w:pPr>
              <w:jc w:val="center"/>
            </w:pPr>
          </w:p>
        </w:tc>
        <w:tc>
          <w:tcPr>
            <w:tcW w:w="1440" w:type="dxa"/>
            <w:vMerge/>
            <w:tcBorders>
              <w:top w:val="single" w:sz="4" w:space="0" w:color="auto"/>
              <w:left w:val="nil"/>
              <w:bottom w:val="single" w:sz="4" w:space="0" w:color="auto"/>
              <w:right w:val="nil"/>
            </w:tcBorders>
            <w:vAlign w:val="center"/>
          </w:tcPr>
          <w:p w14:paraId="669F1801" w14:textId="77777777" w:rsidR="000E1704" w:rsidRPr="003843B5" w:rsidRDefault="000E1704" w:rsidP="000E1704">
            <w:pPr>
              <w:jc w:val="center"/>
            </w:pPr>
          </w:p>
        </w:tc>
        <w:tc>
          <w:tcPr>
            <w:tcW w:w="900" w:type="dxa"/>
            <w:tcBorders>
              <w:top w:val="single" w:sz="4" w:space="0" w:color="auto"/>
              <w:left w:val="nil"/>
              <w:bottom w:val="single" w:sz="4" w:space="0" w:color="auto"/>
              <w:right w:val="nil"/>
            </w:tcBorders>
            <w:vAlign w:val="center"/>
          </w:tcPr>
          <w:p w14:paraId="0068D80D" w14:textId="77777777" w:rsidR="000E1704" w:rsidRPr="003843B5" w:rsidRDefault="000E1704" w:rsidP="000E1704">
            <w:pPr>
              <w:jc w:val="center"/>
            </w:pPr>
            <w:r w:rsidRPr="003843B5">
              <w:t>DMSP 5x</w:t>
            </w:r>
          </w:p>
        </w:tc>
        <w:tc>
          <w:tcPr>
            <w:tcW w:w="1350" w:type="dxa"/>
            <w:tcBorders>
              <w:top w:val="single" w:sz="4" w:space="0" w:color="auto"/>
              <w:left w:val="nil"/>
              <w:bottom w:val="single" w:sz="4" w:space="0" w:color="auto"/>
              <w:right w:val="nil"/>
            </w:tcBorders>
            <w:vAlign w:val="center"/>
          </w:tcPr>
          <w:p w14:paraId="51351D99" w14:textId="77777777" w:rsidR="000E1704" w:rsidRPr="003843B5" w:rsidRDefault="000E1704" w:rsidP="000E1704">
            <w:pPr>
              <w:jc w:val="center"/>
            </w:pPr>
            <w:r w:rsidRPr="003843B5">
              <w:t>Propionate 5x</w:t>
            </w:r>
          </w:p>
        </w:tc>
        <w:tc>
          <w:tcPr>
            <w:tcW w:w="796" w:type="dxa"/>
            <w:tcBorders>
              <w:top w:val="single" w:sz="4" w:space="0" w:color="auto"/>
              <w:left w:val="nil"/>
              <w:bottom w:val="single" w:sz="4" w:space="0" w:color="auto"/>
              <w:right w:val="nil"/>
            </w:tcBorders>
            <w:vAlign w:val="center"/>
          </w:tcPr>
          <w:p w14:paraId="7DBD5D3B" w14:textId="77777777" w:rsidR="000E1704" w:rsidRPr="003843B5" w:rsidRDefault="000E1704" w:rsidP="000E1704">
            <w:pPr>
              <w:jc w:val="center"/>
            </w:pPr>
            <w:r w:rsidRPr="003843B5">
              <w:t>Equal</w:t>
            </w:r>
          </w:p>
        </w:tc>
        <w:tc>
          <w:tcPr>
            <w:tcW w:w="843" w:type="dxa"/>
            <w:tcBorders>
              <w:top w:val="single" w:sz="4" w:space="0" w:color="auto"/>
              <w:left w:val="nil"/>
              <w:bottom w:val="single" w:sz="4" w:space="0" w:color="auto"/>
              <w:right w:val="nil"/>
            </w:tcBorders>
            <w:vAlign w:val="center"/>
          </w:tcPr>
          <w:p w14:paraId="64AEA92D" w14:textId="77777777" w:rsidR="000E1704" w:rsidRPr="003843B5" w:rsidRDefault="000E1704" w:rsidP="000E1704">
            <w:pPr>
              <w:jc w:val="center"/>
            </w:pPr>
            <w:r w:rsidRPr="003843B5">
              <w:t>DMSP 5x</w:t>
            </w:r>
          </w:p>
        </w:tc>
        <w:tc>
          <w:tcPr>
            <w:tcW w:w="1277" w:type="dxa"/>
            <w:tcBorders>
              <w:top w:val="single" w:sz="4" w:space="0" w:color="auto"/>
              <w:left w:val="nil"/>
              <w:bottom w:val="single" w:sz="4" w:space="0" w:color="auto"/>
              <w:right w:val="nil"/>
            </w:tcBorders>
            <w:vAlign w:val="center"/>
          </w:tcPr>
          <w:p w14:paraId="1B9D1039" w14:textId="77777777" w:rsidR="000E1704" w:rsidRPr="003843B5" w:rsidRDefault="000E1704" w:rsidP="000E1704">
            <w:pPr>
              <w:jc w:val="center"/>
            </w:pPr>
            <w:r w:rsidRPr="003843B5">
              <w:t>Propionate 5x</w:t>
            </w:r>
          </w:p>
        </w:tc>
        <w:tc>
          <w:tcPr>
            <w:tcW w:w="774" w:type="dxa"/>
            <w:tcBorders>
              <w:top w:val="single" w:sz="4" w:space="0" w:color="auto"/>
              <w:left w:val="nil"/>
              <w:bottom w:val="single" w:sz="4" w:space="0" w:color="auto"/>
              <w:right w:val="nil"/>
            </w:tcBorders>
            <w:vAlign w:val="center"/>
          </w:tcPr>
          <w:p w14:paraId="73840B42" w14:textId="77777777" w:rsidR="000E1704" w:rsidRPr="003843B5" w:rsidRDefault="000E1704" w:rsidP="000E1704">
            <w:pPr>
              <w:jc w:val="center"/>
            </w:pPr>
            <w:r w:rsidRPr="003843B5">
              <w:t>Equal</w:t>
            </w:r>
          </w:p>
        </w:tc>
      </w:tr>
      <w:tr w:rsidR="000E1704" w:rsidRPr="00DC3695" w14:paraId="305643C8" w14:textId="77777777" w:rsidTr="000E1704">
        <w:trPr>
          <w:trHeight w:val="247"/>
          <w:jc w:val="center"/>
        </w:trPr>
        <w:tc>
          <w:tcPr>
            <w:tcW w:w="815" w:type="dxa"/>
            <w:tcBorders>
              <w:top w:val="single" w:sz="4" w:space="0" w:color="auto"/>
              <w:left w:val="nil"/>
              <w:bottom w:val="nil"/>
              <w:right w:val="nil"/>
            </w:tcBorders>
            <w:vAlign w:val="center"/>
          </w:tcPr>
          <w:p w14:paraId="3A53411E" w14:textId="77777777" w:rsidR="000E1704" w:rsidRPr="003843B5" w:rsidRDefault="000E1704" w:rsidP="000E1704">
            <w:pPr>
              <w:jc w:val="center"/>
            </w:pPr>
            <w:r w:rsidRPr="003843B5">
              <w:t>Neg</w:t>
            </w:r>
          </w:p>
        </w:tc>
        <w:tc>
          <w:tcPr>
            <w:tcW w:w="884" w:type="dxa"/>
            <w:gridSpan w:val="2"/>
            <w:tcBorders>
              <w:top w:val="single" w:sz="4" w:space="0" w:color="auto"/>
              <w:left w:val="nil"/>
              <w:bottom w:val="nil"/>
              <w:right w:val="nil"/>
            </w:tcBorders>
            <w:vAlign w:val="center"/>
          </w:tcPr>
          <w:p w14:paraId="26F5E27C" w14:textId="2CED348B" w:rsidR="000E1704" w:rsidRPr="003843B5" w:rsidRDefault="00E4729C" w:rsidP="000E1704">
            <w:pPr>
              <w:jc w:val="center"/>
              <w:rPr>
                <w:rFonts w:eastAsiaTheme="majorEastAsia"/>
                <w:b/>
                <w:bCs/>
                <w:i/>
                <w:iCs/>
                <w:color w:val="4F81BD" w:themeColor="accent1"/>
              </w:rPr>
            </w:pPr>
            <w:r w:rsidRPr="003843B5">
              <w:t>4%</w:t>
            </w:r>
          </w:p>
        </w:tc>
        <w:tc>
          <w:tcPr>
            <w:tcW w:w="1001" w:type="dxa"/>
            <w:tcBorders>
              <w:top w:val="single" w:sz="4" w:space="0" w:color="auto"/>
              <w:left w:val="nil"/>
              <w:bottom w:val="nil"/>
              <w:right w:val="nil"/>
            </w:tcBorders>
            <w:vAlign w:val="center"/>
          </w:tcPr>
          <w:p w14:paraId="41FE6692" w14:textId="41583A1F" w:rsidR="000E1704" w:rsidRPr="003843B5" w:rsidRDefault="00E4729C" w:rsidP="000E1704">
            <w:pPr>
              <w:jc w:val="center"/>
              <w:rPr>
                <w:rFonts w:eastAsiaTheme="majorEastAsia"/>
                <w:b/>
                <w:bCs/>
                <w:i/>
                <w:iCs/>
                <w:color w:val="404040" w:themeColor="text1" w:themeTint="BF"/>
              </w:rPr>
            </w:pPr>
            <w:r w:rsidRPr="003843B5">
              <w:t>43%</w:t>
            </w:r>
          </w:p>
        </w:tc>
        <w:tc>
          <w:tcPr>
            <w:tcW w:w="1440" w:type="dxa"/>
            <w:tcBorders>
              <w:top w:val="single" w:sz="4" w:space="0" w:color="auto"/>
              <w:left w:val="nil"/>
              <w:bottom w:val="nil"/>
              <w:right w:val="nil"/>
            </w:tcBorders>
            <w:vAlign w:val="center"/>
          </w:tcPr>
          <w:p w14:paraId="57B1B95E" w14:textId="68831D1F" w:rsidR="000E1704" w:rsidRPr="003843B5" w:rsidRDefault="00E4729C" w:rsidP="000E1704">
            <w:pPr>
              <w:jc w:val="center"/>
              <w:rPr>
                <w:rFonts w:eastAsiaTheme="majorEastAsia"/>
                <w:b/>
                <w:bCs/>
                <w:i/>
                <w:iCs/>
                <w:color w:val="404040" w:themeColor="text1" w:themeTint="BF"/>
              </w:rPr>
            </w:pPr>
            <w:r w:rsidRPr="003843B5">
              <w:t>53%</w:t>
            </w:r>
          </w:p>
        </w:tc>
        <w:tc>
          <w:tcPr>
            <w:tcW w:w="900" w:type="dxa"/>
            <w:tcBorders>
              <w:top w:val="single" w:sz="4" w:space="0" w:color="auto"/>
              <w:left w:val="nil"/>
              <w:bottom w:val="nil"/>
              <w:right w:val="nil"/>
            </w:tcBorders>
            <w:vAlign w:val="center"/>
          </w:tcPr>
          <w:p w14:paraId="58212C2E" w14:textId="069782AC" w:rsidR="000E1704" w:rsidRPr="003843B5" w:rsidRDefault="00E4729C" w:rsidP="000E1704">
            <w:pPr>
              <w:jc w:val="center"/>
              <w:rPr>
                <w:rFonts w:eastAsiaTheme="majorEastAsia"/>
                <w:i/>
                <w:iCs/>
                <w:color w:val="404040" w:themeColor="text1" w:themeTint="BF"/>
              </w:rPr>
            </w:pPr>
            <w:r w:rsidRPr="003843B5">
              <w:t>9%</w:t>
            </w:r>
          </w:p>
        </w:tc>
        <w:tc>
          <w:tcPr>
            <w:tcW w:w="1350" w:type="dxa"/>
            <w:tcBorders>
              <w:top w:val="single" w:sz="4" w:space="0" w:color="auto"/>
              <w:left w:val="nil"/>
              <w:bottom w:val="nil"/>
              <w:right w:val="nil"/>
            </w:tcBorders>
            <w:vAlign w:val="center"/>
          </w:tcPr>
          <w:p w14:paraId="0BA8C32C" w14:textId="21DEC5B8" w:rsidR="000E1704" w:rsidRPr="003843B5" w:rsidRDefault="00E4729C" w:rsidP="000E1704">
            <w:pPr>
              <w:jc w:val="center"/>
              <w:rPr>
                <w:rFonts w:eastAsiaTheme="majorEastAsia"/>
                <w:b/>
                <w:bCs/>
                <w:i/>
                <w:iCs/>
                <w:color w:val="404040" w:themeColor="text1" w:themeTint="BF"/>
              </w:rPr>
            </w:pPr>
            <w:r w:rsidRPr="003843B5">
              <w:t>86%</w:t>
            </w:r>
          </w:p>
        </w:tc>
        <w:tc>
          <w:tcPr>
            <w:tcW w:w="796" w:type="dxa"/>
            <w:tcBorders>
              <w:top w:val="single" w:sz="4" w:space="0" w:color="auto"/>
              <w:left w:val="nil"/>
              <w:bottom w:val="nil"/>
              <w:right w:val="nil"/>
            </w:tcBorders>
            <w:vAlign w:val="center"/>
          </w:tcPr>
          <w:p w14:paraId="64541605" w14:textId="0A7526D1" w:rsidR="000E1704" w:rsidRPr="003843B5" w:rsidRDefault="00E4729C" w:rsidP="000E1704">
            <w:pPr>
              <w:jc w:val="center"/>
              <w:rPr>
                <w:rFonts w:eastAsiaTheme="majorEastAsia"/>
                <w:b/>
                <w:bCs/>
                <w:i/>
                <w:iCs/>
                <w:color w:val="404040" w:themeColor="text1" w:themeTint="BF"/>
              </w:rPr>
            </w:pPr>
            <w:r w:rsidRPr="003843B5">
              <w:t>5%</w:t>
            </w:r>
          </w:p>
        </w:tc>
        <w:tc>
          <w:tcPr>
            <w:tcW w:w="843" w:type="dxa"/>
            <w:tcBorders>
              <w:top w:val="single" w:sz="4" w:space="0" w:color="auto"/>
              <w:left w:val="nil"/>
              <w:bottom w:val="nil"/>
              <w:right w:val="nil"/>
            </w:tcBorders>
            <w:vAlign w:val="center"/>
          </w:tcPr>
          <w:p w14:paraId="08DDB003" w14:textId="1FC1BA4F" w:rsidR="000E1704" w:rsidRPr="003843B5" w:rsidRDefault="00E4729C" w:rsidP="000E1704">
            <w:pPr>
              <w:jc w:val="center"/>
              <w:rPr>
                <w:rFonts w:eastAsiaTheme="majorEastAsia"/>
                <w:b/>
                <w:bCs/>
                <w:i/>
                <w:iCs/>
                <w:color w:val="404040" w:themeColor="text1" w:themeTint="BF"/>
              </w:rPr>
            </w:pPr>
            <w:r w:rsidRPr="003843B5">
              <w:t>6%</w:t>
            </w:r>
          </w:p>
        </w:tc>
        <w:tc>
          <w:tcPr>
            <w:tcW w:w="1277" w:type="dxa"/>
            <w:tcBorders>
              <w:top w:val="single" w:sz="4" w:space="0" w:color="auto"/>
              <w:left w:val="nil"/>
              <w:bottom w:val="nil"/>
              <w:right w:val="nil"/>
            </w:tcBorders>
            <w:vAlign w:val="center"/>
          </w:tcPr>
          <w:p w14:paraId="3BB60FAC" w14:textId="644E12CB" w:rsidR="000E1704" w:rsidRPr="003843B5" w:rsidRDefault="00E4729C" w:rsidP="000E1704">
            <w:pPr>
              <w:jc w:val="center"/>
              <w:rPr>
                <w:rFonts w:eastAsiaTheme="majorEastAsia"/>
                <w:b/>
                <w:bCs/>
                <w:i/>
                <w:iCs/>
                <w:color w:val="404040" w:themeColor="text1" w:themeTint="BF"/>
              </w:rPr>
            </w:pPr>
            <w:r w:rsidRPr="003843B5">
              <w:t>86%</w:t>
            </w:r>
          </w:p>
        </w:tc>
        <w:tc>
          <w:tcPr>
            <w:tcW w:w="774" w:type="dxa"/>
            <w:tcBorders>
              <w:top w:val="single" w:sz="4" w:space="0" w:color="auto"/>
              <w:left w:val="nil"/>
              <w:bottom w:val="nil"/>
              <w:right w:val="nil"/>
            </w:tcBorders>
            <w:vAlign w:val="center"/>
          </w:tcPr>
          <w:p w14:paraId="5284163F" w14:textId="724EE2B8" w:rsidR="000E1704" w:rsidRPr="003843B5" w:rsidRDefault="00E4729C" w:rsidP="000E1704">
            <w:pPr>
              <w:jc w:val="center"/>
              <w:rPr>
                <w:rFonts w:eastAsiaTheme="majorEastAsia"/>
                <w:b/>
                <w:bCs/>
                <w:i/>
                <w:iCs/>
                <w:color w:val="4F81BD" w:themeColor="accent1"/>
              </w:rPr>
            </w:pPr>
            <w:r w:rsidRPr="003843B5">
              <w:t>8%</w:t>
            </w:r>
          </w:p>
        </w:tc>
      </w:tr>
      <w:tr w:rsidR="000E1704" w:rsidRPr="00DC3695" w14:paraId="26EB3CF9" w14:textId="77777777" w:rsidTr="000E1704">
        <w:trPr>
          <w:trHeight w:val="234"/>
          <w:jc w:val="center"/>
        </w:trPr>
        <w:tc>
          <w:tcPr>
            <w:tcW w:w="815" w:type="dxa"/>
            <w:tcBorders>
              <w:top w:val="nil"/>
              <w:left w:val="nil"/>
              <w:bottom w:val="nil"/>
              <w:right w:val="nil"/>
            </w:tcBorders>
            <w:vAlign w:val="center"/>
          </w:tcPr>
          <w:p w14:paraId="648DA7F4" w14:textId="77777777" w:rsidR="000E1704" w:rsidRPr="003843B5" w:rsidRDefault="000E1704" w:rsidP="000E1704">
            <w:pPr>
              <w:jc w:val="center"/>
            </w:pPr>
            <w:r w:rsidRPr="003843B5">
              <w:t>Pos</w:t>
            </w:r>
          </w:p>
        </w:tc>
        <w:tc>
          <w:tcPr>
            <w:tcW w:w="884" w:type="dxa"/>
            <w:gridSpan w:val="2"/>
            <w:tcBorders>
              <w:top w:val="nil"/>
              <w:left w:val="nil"/>
              <w:bottom w:val="nil"/>
              <w:right w:val="nil"/>
            </w:tcBorders>
            <w:vAlign w:val="center"/>
          </w:tcPr>
          <w:p w14:paraId="297136C0" w14:textId="2AB3354A" w:rsidR="000E1704" w:rsidRPr="003843B5" w:rsidRDefault="00E4729C" w:rsidP="000E1704">
            <w:pPr>
              <w:jc w:val="center"/>
              <w:rPr>
                <w:rFonts w:eastAsiaTheme="majorEastAsia"/>
                <w:b/>
                <w:bCs/>
                <w:i/>
                <w:iCs/>
                <w:color w:val="404040" w:themeColor="text1" w:themeTint="BF"/>
              </w:rPr>
            </w:pPr>
            <w:r w:rsidRPr="003843B5">
              <w:t>1%</w:t>
            </w:r>
          </w:p>
        </w:tc>
        <w:tc>
          <w:tcPr>
            <w:tcW w:w="1001" w:type="dxa"/>
            <w:tcBorders>
              <w:top w:val="nil"/>
              <w:left w:val="nil"/>
              <w:bottom w:val="nil"/>
              <w:right w:val="nil"/>
            </w:tcBorders>
            <w:vAlign w:val="center"/>
          </w:tcPr>
          <w:p w14:paraId="774E27EF" w14:textId="63F99D54" w:rsidR="000E1704" w:rsidRPr="003843B5" w:rsidRDefault="00E4729C" w:rsidP="000E1704">
            <w:pPr>
              <w:jc w:val="center"/>
              <w:rPr>
                <w:rFonts w:eastAsiaTheme="majorEastAsia"/>
                <w:b/>
                <w:bCs/>
                <w:i/>
                <w:iCs/>
                <w:color w:val="404040" w:themeColor="text1" w:themeTint="BF"/>
              </w:rPr>
            </w:pPr>
            <w:r w:rsidRPr="003843B5">
              <w:t>96%</w:t>
            </w:r>
          </w:p>
        </w:tc>
        <w:tc>
          <w:tcPr>
            <w:tcW w:w="1440" w:type="dxa"/>
            <w:tcBorders>
              <w:top w:val="nil"/>
              <w:left w:val="nil"/>
              <w:bottom w:val="nil"/>
              <w:right w:val="nil"/>
            </w:tcBorders>
            <w:vAlign w:val="center"/>
          </w:tcPr>
          <w:p w14:paraId="0C5EE0E8" w14:textId="665AB95D" w:rsidR="000E1704" w:rsidRPr="003843B5" w:rsidRDefault="00E4729C" w:rsidP="000E1704">
            <w:pPr>
              <w:jc w:val="center"/>
              <w:rPr>
                <w:rFonts w:eastAsiaTheme="majorEastAsia"/>
                <w:b/>
                <w:bCs/>
                <w:i/>
                <w:iCs/>
                <w:color w:val="404040" w:themeColor="text1" w:themeTint="BF"/>
              </w:rPr>
            </w:pPr>
            <w:r w:rsidRPr="003843B5">
              <w:t>3%</w:t>
            </w:r>
          </w:p>
        </w:tc>
        <w:tc>
          <w:tcPr>
            <w:tcW w:w="900" w:type="dxa"/>
            <w:tcBorders>
              <w:top w:val="nil"/>
              <w:left w:val="nil"/>
              <w:bottom w:val="nil"/>
              <w:right w:val="nil"/>
            </w:tcBorders>
            <w:vAlign w:val="center"/>
          </w:tcPr>
          <w:p w14:paraId="2EE6D91B" w14:textId="651E198C" w:rsidR="000E1704" w:rsidRPr="003843B5" w:rsidRDefault="00E4729C" w:rsidP="000E1704">
            <w:pPr>
              <w:jc w:val="center"/>
              <w:rPr>
                <w:rFonts w:eastAsiaTheme="majorEastAsia"/>
                <w:b/>
                <w:bCs/>
                <w:i/>
                <w:iCs/>
                <w:color w:val="404040" w:themeColor="text1" w:themeTint="BF"/>
              </w:rPr>
            </w:pPr>
            <w:r w:rsidRPr="003843B5">
              <w:t>17%</w:t>
            </w:r>
          </w:p>
        </w:tc>
        <w:tc>
          <w:tcPr>
            <w:tcW w:w="1350" w:type="dxa"/>
            <w:tcBorders>
              <w:top w:val="nil"/>
              <w:left w:val="nil"/>
              <w:bottom w:val="nil"/>
              <w:right w:val="nil"/>
            </w:tcBorders>
            <w:vAlign w:val="center"/>
          </w:tcPr>
          <w:p w14:paraId="6923BCD1" w14:textId="6EE64F75" w:rsidR="000E1704" w:rsidRPr="003843B5" w:rsidRDefault="00E4729C" w:rsidP="000E1704">
            <w:pPr>
              <w:jc w:val="center"/>
              <w:rPr>
                <w:rFonts w:eastAsiaTheme="majorEastAsia"/>
                <w:b/>
                <w:bCs/>
                <w:i/>
                <w:iCs/>
                <w:color w:val="404040" w:themeColor="text1" w:themeTint="BF"/>
              </w:rPr>
            </w:pPr>
            <w:r w:rsidRPr="003843B5">
              <w:t>64%</w:t>
            </w:r>
          </w:p>
        </w:tc>
        <w:tc>
          <w:tcPr>
            <w:tcW w:w="796" w:type="dxa"/>
            <w:tcBorders>
              <w:top w:val="nil"/>
              <w:left w:val="nil"/>
              <w:bottom w:val="nil"/>
              <w:right w:val="nil"/>
            </w:tcBorders>
            <w:vAlign w:val="center"/>
          </w:tcPr>
          <w:p w14:paraId="1B0FA03B" w14:textId="430DC661" w:rsidR="000E1704" w:rsidRPr="003843B5" w:rsidRDefault="00E4729C" w:rsidP="000E1704">
            <w:pPr>
              <w:jc w:val="center"/>
              <w:rPr>
                <w:rFonts w:eastAsiaTheme="majorEastAsia"/>
                <w:b/>
                <w:bCs/>
                <w:i/>
                <w:iCs/>
                <w:color w:val="404040" w:themeColor="text1" w:themeTint="BF"/>
              </w:rPr>
            </w:pPr>
            <w:r w:rsidRPr="003843B5">
              <w:t>19%</w:t>
            </w:r>
          </w:p>
        </w:tc>
        <w:tc>
          <w:tcPr>
            <w:tcW w:w="843" w:type="dxa"/>
            <w:tcBorders>
              <w:top w:val="nil"/>
              <w:left w:val="nil"/>
              <w:bottom w:val="nil"/>
              <w:right w:val="nil"/>
            </w:tcBorders>
            <w:vAlign w:val="center"/>
          </w:tcPr>
          <w:p w14:paraId="4182A60A" w14:textId="1B6E8875" w:rsidR="000E1704" w:rsidRPr="003843B5" w:rsidRDefault="00E4729C" w:rsidP="000E1704">
            <w:pPr>
              <w:jc w:val="center"/>
              <w:rPr>
                <w:rFonts w:eastAsiaTheme="majorEastAsia"/>
                <w:b/>
                <w:bCs/>
                <w:i/>
                <w:iCs/>
                <w:color w:val="404040" w:themeColor="text1" w:themeTint="BF"/>
              </w:rPr>
            </w:pPr>
            <w:r w:rsidRPr="003843B5">
              <w:t>13%</w:t>
            </w:r>
          </w:p>
        </w:tc>
        <w:tc>
          <w:tcPr>
            <w:tcW w:w="1277" w:type="dxa"/>
            <w:tcBorders>
              <w:top w:val="nil"/>
              <w:left w:val="nil"/>
              <w:bottom w:val="nil"/>
              <w:right w:val="nil"/>
            </w:tcBorders>
            <w:vAlign w:val="center"/>
          </w:tcPr>
          <w:p w14:paraId="4C28A6B9" w14:textId="52DEC06F" w:rsidR="000E1704" w:rsidRPr="003843B5" w:rsidRDefault="00E4729C" w:rsidP="000E1704">
            <w:pPr>
              <w:jc w:val="center"/>
              <w:rPr>
                <w:rFonts w:eastAsiaTheme="majorEastAsia"/>
                <w:b/>
                <w:bCs/>
                <w:i/>
                <w:iCs/>
                <w:color w:val="404040" w:themeColor="text1" w:themeTint="BF"/>
              </w:rPr>
            </w:pPr>
            <w:r w:rsidRPr="003843B5">
              <w:t>66%</w:t>
            </w:r>
          </w:p>
        </w:tc>
        <w:tc>
          <w:tcPr>
            <w:tcW w:w="774" w:type="dxa"/>
            <w:tcBorders>
              <w:top w:val="nil"/>
              <w:left w:val="nil"/>
              <w:bottom w:val="nil"/>
              <w:right w:val="nil"/>
            </w:tcBorders>
            <w:vAlign w:val="center"/>
          </w:tcPr>
          <w:p w14:paraId="4E90DFEC" w14:textId="5468BBD8" w:rsidR="000E1704" w:rsidRPr="003843B5" w:rsidRDefault="00E4729C" w:rsidP="000E1704">
            <w:pPr>
              <w:jc w:val="center"/>
              <w:rPr>
                <w:rFonts w:eastAsiaTheme="majorEastAsia"/>
                <w:b/>
                <w:bCs/>
                <w:i/>
                <w:iCs/>
                <w:color w:val="404040" w:themeColor="text1" w:themeTint="BF"/>
              </w:rPr>
            </w:pPr>
            <w:r w:rsidRPr="003843B5">
              <w:t>21%</w:t>
            </w:r>
          </w:p>
        </w:tc>
      </w:tr>
      <w:tr w:rsidR="000E1704" w:rsidRPr="00DC3695" w14:paraId="1BC5FB31" w14:textId="77777777" w:rsidTr="000E1704">
        <w:trPr>
          <w:trHeight w:val="234"/>
          <w:jc w:val="center"/>
        </w:trPr>
        <w:tc>
          <w:tcPr>
            <w:tcW w:w="10080" w:type="dxa"/>
            <w:gridSpan w:val="11"/>
            <w:tcBorders>
              <w:top w:val="single" w:sz="4" w:space="0" w:color="auto"/>
              <w:left w:val="nil"/>
              <w:bottom w:val="single" w:sz="4" w:space="0" w:color="auto"/>
              <w:right w:val="nil"/>
            </w:tcBorders>
            <w:vAlign w:val="center"/>
          </w:tcPr>
          <w:p w14:paraId="24819F38" w14:textId="77777777" w:rsidR="000E1704" w:rsidRPr="003843B5" w:rsidRDefault="000E1704" w:rsidP="000E1704">
            <w:pPr>
              <w:jc w:val="center"/>
            </w:pPr>
            <w:r w:rsidRPr="003843B5">
              <w:t>Extracellular</w:t>
            </w:r>
          </w:p>
        </w:tc>
      </w:tr>
      <w:tr w:rsidR="000E1704" w:rsidRPr="00DC3695" w14:paraId="6525BD69" w14:textId="77777777" w:rsidTr="000E1704">
        <w:trPr>
          <w:trHeight w:val="234"/>
          <w:jc w:val="center"/>
        </w:trPr>
        <w:tc>
          <w:tcPr>
            <w:tcW w:w="815" w:type="dxa"/>
            <w:vMerge w:val="restart"/>
            <w:tcBorders>
              <w:top w:val="single" w:sz="4" w:space="0" w:color="auto"/>
              <w:left w:val="nil"/>
              <w:bottom w:val="nil"/>
              <w:right w:val="nil"/>
            </w:tcBorders>
            <w:vAlign w:val="center"/>
          </w:tcPr>
          <w:p w14:paraId="15424418" w14:textId="77777777" w:rsidR="000E1704" w:rsidRPr="003843B5" w:rsidRDefault="000E1704" w:rsidP="000E1704">
            <w:pPr>
              <w:jc w:val="center"/>
            </w:pPr>
          </w:p>
        </w:tc>
        <w:tc>
          <w:tcPr>
            <w:tcW w:w="884" w:type="dxa"/>
            <w:gridSpan w:val="2"/>
            <w:vMerge w:val="restart"/>
            <w:tcBorders>
              <w:top w:val="single" w:sz="4" w:space="0" w:color="auto"/>
              <w:left w:val="nil"/>
              <w:bottom w:val="nil"/>
              <w:right w:val="nil"/>
            </w:tcBorders>
            <w:vAlign w:val="center"/>
          </w:tcPr>
          <w:p w14:paraId="2A3B1686" w14:textId="77777777" w:rsidR="000E1704" w:rsidRPr="003843B5" w:rsidRDefault="000E1704" w:rsidP="000E1704">
            <w:pPr>
              <w:jc w:val="center"/>
            </w:pPr>
            <w:r w:rsidRPr="003843B5">
              <w:t>DMSP</w:t>
            </w:r>
          </w:p>
        </w:tc>
        <w:tc>
          <w:tcPr>
            <w:tcW w:w="1001" w:type="dxa"/>
            <w:vMerge w:val="restart"/>
            <w:tcBorders>
              <w:top w:val="single" w:sz="4" w:space="0" w:color="auto"/>
              <w:left w:val="nil"/>
              <w:bottom w:val="nil"/>
              <w:right w:val="nil"/>
            </w:tcBorders>
            <w:vAlign w:val="center"/>
          </w:tcPr>
          <w:p w14:paraId="37DBE94C" w14:textId="77777777" w:rsidR="000E1704" w:rsidRPr="003843B5" w:rsidRDefault="000E1704" w:rsidP="000E1704">
            <w:pPr>
              <w:jc w:val="center"/>
            </w:pPr>
            <w:r w:rsidRPr="003843B5">
              <w:t>Overlap</w:t>
            </w:r>
          </w:p>
        </w:tc>
        <w:tc>
          <w:tcPr>
            <w:tcW w:w="1440" w:type="dxa"/>
            <w:vMerge w:val="restart"/>
            <w:tcBorders>
              <w:top w:val="single" w:sz="4" w:space="0" w:color="auto"/>
              <w:left w:val="nil"/>
              <w:bottom w:val="nil"/>
              <w:right w:val="nil"/>
            </w:tcBorders>
            <w:vAlign w:val="center"/>
          </w:tcPr>
          <w:p w14:paraId="0A91E18E" w14:textId="77777777" w:rsidR="000E1704" w:rsidRPr="003843B5" w:rsidRDefault="000E1704" w:rsidP="000E1704">
            <w:pPr>
              <w:jc w:val="center"/>
            </w:pPr>
            <w:r w:rsidRPr="003843B5">
              <w:t>Propionate</w:t>
            </w:r>
          </w:p>
        </w:tc>
        <w:tc>
          <w:tcPr>
            <w:tcW w:w="3046" w:type="dxa"/>
            <w:gridSpan w:val="3"/>
            <w:tcBorders>
              <w:top w:val="single" w:sz="4" w:space="0" w:color="auto"/>
              <w:left w:val="nil"/>
              <w:bottom w:val="single" w:sz="4" w:space="0" w:color="auto"/>
              <w:right w:val="nil"/>
            </w:tcBorders>
            <w:vAlign w:val="center"/>
          </w:tcPr>
          <w:p w14:paraId="1986A901" w14:textId="77777777" w:rsidR="000E1704" w:rsidRPr="003843B5" w:rsidRDefault="000E1704" w:rsidP="000E1704">
            <w:pPr>
              <w:jc w:val="center"/>
            </w:pPr>
            <w:r w:rsidRPr="003843B5">
              <w:t>60 hours</w:t>
            </w:r>
          </w:p>
        </w:tc>
        <w:tc>
          <w:tcPr>
            <w:tcW w:w="2894" w:type="dxa"/>
            <w:gridSpan w:val="3"/>
            <w:tcBorders>
              <w:top w:val="single" w:sz="4" w:space="0" w:color="auto"/>
              <w:left w:val="nil"/>
              <w:bottom w:val="single" w:sz="4" w:space="0" w:color="auto"/>
              <w:right w:val="nil"/>
            </w:tcBorders>
            <w:vAlign w:val="center"/>
          </w:tcPr>
          <w:p w14:paraId="5E0E497A" w14:textId="77777777" w:rsidR="000E1704" w:rsidRPr="003843B5" w:rsidRDefault="000E1704" w:rsidP="000E1704">
            <w:pPr>
              <w:jc w:val="center"/>
            </w:pPr>
            <w:r w:rsidRPr="003843B5">
              <w:t>72 hours</w:t>
            </w:r>
          </w:p>
        </w:tc>
      </w:tr>
      <w:tr w:rsidR="000E1704" w:rsidRPr="00DC3695" w14:paraId="0AD81BA1" w14:textId="77777777" w:rsidTr="000E1704">
        <w:trPr>
          <w:trHeight w:val="466"/>
          <w:jc w:val="center"/>
        </w:trPr>
        <w:tc>
          <w:tcPr>
            <w:tcW w:w="815" w:type="dxa"/>
            <w:vMerge/>
            <w:tcBorders>
              <w:top w:val="nil"/>
              <w:left w:val="nil"/>
              <w:bottom w:val="single" w:sz="4" w:space="0" w:color="auto"/>
              <w:right w:val="nil"/>
            </w:tcBorders>
            <w:vAlign w:val="center"/>
          </w:tcPr>
          <w:p w14:paraId="73E05B27" w14:textId="77777777" w:rsidR="000E1704" w:rsidRPr="003843B5" w:rsidRDefault="000E1704" w:rsidP="000E1704">
            <w:pPr>
              <w:jc w:val="center"/>
            </w:pPr>
          </w:p>
        </w:tc>
        <w:tc>
          <w:tcPr>
            <w:tcW w:w="884" w:type="dxa"/>
            <w:gridSpan w:val="2"/>
            <w:vMerge/>
            <w:tcBorders>
              <w:top w:val="nil"/>
              <w:left w:val="nil"/>
              <w:bottom w:val="single" w:sz="4" w:space="0" w:color="auto"/>
              <w:right w:val="nil"/>
            </w:tcBorders>
            <w:vAlign w:val="center"/>
          </w:tcPr>
          <w:p w14:paraId="0115EA99" w14:textId="77777777" w:rsidR="000E1704" w:rsidRPr="003843B5" w:rsidRDefault="000E1704" w:rsidP="000E1704">
            <w:pPr>
              <w:jc w:val="center"/>
            </w:pPr>
          </w:p>
        </w:tc>
        <w:tc>
          <w:tcPr>
            <w:tcW w:w="1001" w:type="dxa"/>
            <w:vMerge/>
            <w:tcBorders>
              <w:top w:val="nil"/>
              <w:left w:val="nil"/>
              <w:bottom w:val="single" w:sz="4" w:space="0" w:color="auto"/>
              <w:right w:val="nil"/>
            </w:tcBorders>
            <w:vAlign w:val="center"/>
          </w:tcPr>
          <w:p w14:paraId="40D593C6" w14:textId="77777777" w:rsidR="000E1704" w:rsidRPr="003843B5" w:rsidRDefault="000E1704" w:rsidP="000E1704">
            <w:pPr>
              <w:jc w:val="center"/>
            </w:pPr>
          </w:p>
        </w:tc>
        <w:tc>
          <w:tcPr>
            <w:tcW w:w="1440" w:type="dxa"/>
            <w:vMerge/>
            <w:tcBorders>
              <w:top w:val="nil"/>
              <w:left w:val="nil"/>
              <w:bottom w:val="single" w:sz="4" w:space="0" w:color="auto"/>
              <w:right w:val="nil"/>
            </w:tcBorders>
            <w:vAlign w:val="center"/>
          </w:tcPr>
          <w:p w14:paraId="5C92E281" w14:textId="77777777" w:rsidR="000E1704" w:rsidRPr="003843B5" w:rsidRDefault="000E1704" w:rsidP="000E1704">
            <w:pPr>
              <w:jc w:val="center"/>
            </w:pPr>
          </w:p>
        </w:tc>
        <w:tc>
          <w:tcPr>
            <w:tcW w:w="900" w:type="dxa"/>
            <w:tcBorders>
              <w:top w:val="single" w:sz="4" w:space="0" w:color="auto"/>
              <w:left w:val="nil"/>
              <w:bottom w:val="single" w:sz="4" w:space="0" w:color="auto"/>
              <w:right w:val="nil"/>
            </w:tcBorders>
            <w:vAlign w:val="center"/>
          </w:tcPr>
          <w:p w14:paraId="0A08506C" w14:textId="77777777" w:rsidR="000E1704" w:rsidRPr="003843B5" w:rsidRDefault="000E1704" w:rsidP="000E1704">
            <w:pPr>
              <w:jc w:val="center"/>
            </w:pPr>
            <w:r w:rsidRPr="003843B5">
              <w:t>DMSP 5x</w:t>
            </w:r>
          </w:p>
        </w:tc>
        <w:tc>
          <w:tcPr>
            <w:tcW w:w="1350" w:type="dxa"/>
            <w:tcBorders>
              <w:top w:val="single" w:sz="4" w:space="0" w:color="auto"/>
              <w:left w:val="nil"/>
              <w:bottom w:val="single" w:sz="4" w:space="0" w:color="auto"/>
              <w:right w:val="nil"/>
            </w:tcBorders>
            <w:vAlign w:val="center"/>
          </w:tcPr>
          <w:p w14:paraId="7C0205BD" w14:textId="77777777" w:rsidR="000E1704" w:rsidRPr="003843B5" w:rsidRDefault="000E1704" w:rsidP="000E1704">
            <w:pPr>
              <w:jc w:val="center"/>
            </w:pPr>
            <w:r w:rsidRPr="003843B5">
              <w:t>Propionate 5x</w:t>
            </w:r>
          </w:p>
        </w:tc>
        <w:tc>
          <w:tcPr>
            <w:tcW w:w="796" w:type="dxa"/>
            <w:tcBorders>
              <w:top w:val="single" w:sz="4" w:space="0" w:color="auto"/>
              <w:left w:val="nil"/>
              <w:bottom w:val="single" w:sz="4" w:space="0" w:color="auto"/>
              <w:right w:val="nil"/>
            </w:tcBorders>
            <w:vAlign w:val="center"/>
          </w:tcPr>
          <w:p w14:paraId="74A320F0" w14:textId="77777777" w:rsidR="000E1704" w:rsidRPr="003843B5" w:rsidRDefault="000E1704" w:rsidP="000E1704">
            <w:pPr>
              <w:jc w:val="center"/>
            </w:pPr>
            <w:r w:rsidRPr="003843B5">
              <w:t>Equal</w:t>
            </w:r>
          </w:p>
        </w:tc>
        <w:tc>
          <w:tcPr>
            <w:tcW w:w="843" w:type="dxa"/>
            <w:tcBorders>
              <w:top w:val="single" w:sz="4" w:space="0" w:color="auto"/>
              <w:left w:val="nil"/>
              <w:bottom w:val="single" w:sz="4" w:space="0" w:color="auto"/>
              <w:right w:val="nil"/>
            </w:tcBorders>
            <w:vAlign w:val="center"/>
          </w:tcPr>
          <w:p w14:paraId="31338C00" w14:textId="77777777" w:rsidR="000E1704" w:rsidRPr="003843B5" w:rsidRDefault="000E1704" w:rsidP="000E1704">
            <w:pPr>
              <w:jc w:val="center"/>
            </w:pPr>
            <w:r w:rsidRPr="003843B5">
              <w:t>DMSP 5x</w:t>
            </w:r>
          </w:p>
        </w:tc>
        <w:tc>
          <w:tcPr>
            <w:tcW w:w="1277" w:type="dxa"/>
            <w:tcBorders>
              <w:top w:val="single" w:sz="4" w:space="0" w:color="auto"/>
              <w:left w:val="nil"/>
              <w:bottom w:val="single" w:sz="4" w:space="0" w:color="auto"/>
              <w:right w:val="nil"/>
            </w:tcBorders>
            <w:vAlign w:val="center"/>
          </w:tcPr>
          <w:p w14:paraId="218EBCBC" w14:textId="77777777" w:rsidR="000E1704" w:rsidRPr="003843B5" w:rsidRDefault="000E1704" w:rsidP="000E1704">
            <w:pPr>
              <w:jc w:val="center"/>
            </w:pPr>
            <w:r w:rsidRPr="003843B5">
              <w:t>Propionate 5x</w:t>
            </w:r>
          </w:p>
        </w:tc>
        <w:tc>
          <w:tcPr>
            <w:tcW w:w="774" w:type="dxa"/>
            <w:tcBorders>
              <w:top w:val="single" w:sz="4" w:space="0" w:color="auto"/>
              <w:left w:val="nil"/>
              <w:bottom w:val="single" w:sz="4" w:space="0" w:color="auto"/>
              <w:right w:val="nil"/>
            </w:tcBorders>
            <w:vAlign w:val="center"/>
          </w:tcPr>
          <w:p w14:paraId="7BEB3EE0" w14:textId="77777777" w:rsidR="000E1704" w:rsidRPr="003843B5" w:rsidRDefault="000E1704" w:rsidP="000E1704">
            <w:pPr>
              <w:jc w:val="center"/>
            </w:pPr>
            <w:r w:rsidRPr="003843B5">
              <w:t>Equal</w:t>
            </w:r>
          </w:p>
        </w:tc>
      </w:tr>
      <w:tr w:rsidR="000E1704" w:rsidRPr="00DC3695" w14:paraId="02DC1229" w14:textId="77777777" w:rsidTr="000E1704">
        <w:trPr>
          <w:trHeight w:val="234"/>
          <w:jc w:val="center"/>
        </w:trPr>
        <w:tc>
          <w:tcPr>
            <w:tcW w:w="815" w:type="dxa"/>
            <w:tcBorders>
              <w:top w:val="single" w:sz="4" w:space="0" w:color="auto"/>
              <w:left w:val="nil"/>
              <w:bottom w:val="nil"/>
              <w:right w:val="nil"/>
            </w:tcBorders>
            <w:vAlign w:val="center"/>
          </w:tcPr>
          <w:p w14:paraId="1FA89388" w14:textId="77777777" w:rsidR="000E1704" w:rsidRPr="003843B5" w:rsidRDefault="000E1704" w:rsidP="000E1704">
            <w:pPr>
              <w:jc w:val="center"/>
            </w:pPr>
            <w:r w:rsidRPr="003843B5">
              <w:t>Neg</w:t>
            </w:r>
          </w:p>
        </w:tc>
        <w:tc>
          <w:tcPr>
            <w:tcW w:w="884" w:type="dxa"/>
            <w:gridSpan w:val="2"/>
            <w:tcBorders>
              <w:top w:val="single" w:sz="4" w:space="0" w:color="auto"/>
              <w:left w:val="nil"/>
              <w:bottom w:val="nil"/>
              <w:right w:val="nil"/>
            </w:tcBorders>
            <w:vAlign w:val="center"/>
          </w:tcPr>
          <w:p w14:paraId="21308A0C" w14:textId="1EE152B8" w:rsidR="000E1704" w:rsidRPr="003843B5" w:rsidRDefault="00E4729C" w:rsidP="000E1704">
            <w:pPr>
              <w:jc w:val="center"/>
            </w:pPr>
            <w:r w:rsidRPr="003843B5">
              <w:t>1%</w:t>
            </w:r>
          </w:p>
        </w:tc>
        <w:tc>
          <w:tcPr>
            <w:tcW w:w="1001" w:type="dxa"/>
            <w:tcBorders>
              <w:top w:val="single" w:sz="4" w:space="0" w:color="auto"/>
              <w:left w:val="nil"/>
              <w:bottom w:val="nil"/>
              <w:right w:val="nil"/>
            </w:tcBorders>
            <w:vAlign w:val="center"/>
          </w:tcPr>
          <w:p w14:paraId="5E2CA654" w14:textId="5F2D9BB0" w:rsidR="000E1704" w:rsidRPr="003843B5" w:rsidRDefault="00E4729C" w:rsidP="000E1704">
            <w:pPr>
              <w:jc w:val="center"/>
            </w:pPr>
            <w:r w:rsidRPr="003843B5">
              <w:t>98%</w:t>
            </w:r>
          </w:p>
        </w:tc>
        <w:tc>
          <w:tcPr>
            <w:tcW w:w="1440" w:type="dxa"/>
            <w:tcBorders>
              <w:top w:val="single" w:sz="4" w:space="0" w:color="auto"/>
              <w:left w:val="nil"/>
              <w:bottom w:val="nil"/>
              <w:right w:val="nil"/>
            </w:tcBorders>
            <w:vAlign w:val="center"/>
          </w:tcPr>
          <w:p w14:paraId="71F5D8A7" w14:textId="271CDCDA" w:rsidR="000E1704" w:rsidRPr="003843B5" w:rsidRDefault="00E4729C" w:rsidP="000E1704">
            <w:pPr>
              <w:jc w:val="center"/>
            </w:pPr>
            <w:r w:rsidRPr="003843B5">
              <w:t>1%</w:t>
            </w:r>
          </w:p>
        </w:tc>
        <w:tc>
          <w:tcPr>
            <w:tcW w:w="900" w:type="dxa"/>
            <w:tcBorders>
              <w:top w:val="single" w:sz="4" w:space="0" w:color="auto"/>
              <w:left w:val="nil"/>
              <w:bottom w:val="nil"/>
              <w:right w:val="nil"/>
            </w:tcBorders>
            <w:vAlign w:val="center"/>
          </w:tcPr>
          <w:p w14:paraId="7F856D55" w14:textId="700900F9" w:rsidR="000E1704" w:rsidRPr="003843B5" w:rsidRDefault="00E4729C" w:rsidP="000E1704">
            <w:pPr>
              <w:jc w:val="center"/>
            </w:pPr>
            <w:r w:rsidRPr="003843B5">
              <w:t>19%</w:t>
            </w:r>
          </w:p>
        </w:tc>
        <w:tc>
          <w:tcPr>
            <w:tcW w:w="1350" w:type="dxa"/>
            <w:tcBorders>
              <w:top w:val="single" w:sz="4" w:space="0" w:color="auto"/>
              <w:left w:val="nil"/>
              <w:bottom w:val="nil"/>
              <w:right w:val="nil"/>
            </w:tcBorders>
            <w:vAlign w:val="center"/>
          </w:tcPr>
          <w:p w14:paraId="3CC06105" w14:textId="797C8E1A" w:rsidR="000E1704" w:rsidRPr="003843B5" w:rsidRDefault="00E4729C" w:rsidP="000E1704">
            <w:pPr>
              <w:jc w:val="center"/>
            </w:pPr>
            <w:r w:rsidRPr="003843B5">
              <w:t>28%</w:t>
            </w:r>
          </w:p>
        </w:tc>
        <w:tc>
          <w:tcPr>
            <w:tcW w:w="796" w:type="dxa"/>
            <w:tcBorders>
              <w:top w:val="single" w:sz="4" w:space="0" w:color="auto"/>
              <w:left w:val="nil"/>
              <w:bottom w:val="nil"/>
              <w:right w:val="nil"/>
            </w:tcBorders>
            <w:vAlign w:val="center"/>
          </w:tcPr>
          <w:p w14:paraId="3B56E27F" w14:textId="58BFDAC7" w:rsidR="000E1704" w:rsidRPr="003843B5" w:rsidRDefault="00E4729C" w:rsidP="000E1704">
            <w:pPr>
              <w:jc w:val="center"/>
            </w:pPr>
            <w:r w:rsidRPr="003843B5">
              <w:t>53%</w:t>
            </w:r>
          </w:p>
        </w:tc>
        <w:tc>
          <w:tcPr>
            <w:tcW w:w="843" w:type="dxa"/>
            <w:tcBorders>
              <w:top w:val="single" w:sz="4" w:space="0" w:color="auto"/>
              <w:left w:val="nil"/>
              <w:bottom w:val="nil"/>
              <w:right w:val="nil"/>
            </w:tcBorders>
            <w:vAlign w:val="center"/>
          </w:tcPr>
          <w:p w14:paraId="0F3BE846" w14:textId="376F9EC5" w:rsidR="000E1704" w:rsidRPr="003843B5" w:rsidRDefault="00E4729C" w:rsidP="000E1704">
            <w:pPr>
              <w:jc w:val="center"/>
            </w:pPr>
            <w:r w:rsidRPr="003843B5">
              <w:t>24%</w:t>
            </w:r>
          </w:p>
        </w:tc>
        <w:tc>
          <w:tcPr>
            <w:tcW w:w="1277" w:type="dxa"/>
            <w:tcBorders>
              <w:top w:val="single" w:sz="4" w:space="0" w:color="auto"/>
              <w:left w:val="nil"/>
              <w:bottom w:val="nil"/>
              <w:right w:val="nil"/>
            </w:tcBorders>
            <w:vAlign w:val="center"/>
          </w:tcPr>
          <w:p w14:paraId="084A7982" w14:textId="6AF0BCB8" w:rsidR="000E1704" w:rsidRPr="003843B5" w:rsidRDefault="00E4729C" w:rsidP="000E1704">
            <w:pPr>
              <w:jc w:val="center"/>
            </w:pPr>
            <w:r w:rsidRPr="003843B5">
              <w:t>43%</w:t>
            </w:r>
          </w:p>
        </w:tc>
        <w:tc>
          <w:tcPr>
            <w:tcW w:w="774" w:type="dxa"/>
            <w:tcBorders>
              <w:top w:val="single" w:sz="4" w:space="0" w:color="auto"/>
              <w:left w:val="nil"/>
              <w:bottom w:val="nil"/>
              <w:right w:val="nil"/>
            </w:tcBorders>
            <w:vAlign w:val="center"/>
          </w:tcPr>
          <w:p w14:paraId="2C242CEC" w14:textId="617AA71B" w:rsidR="000E1704" w:rsidRPr="003843B5" w:rsidRDefault="00E4729C" w:rsidP="000E1704">
            <w:pPr>
              <w:jc w:val="center"/>
            </w:pPr>
            <w:r w:rsidRPr="003843B5">
              <w:t>33%</w:t>
            </w:r>
          </w:p>
        </w:tc>
      </w:tr>
      <w:tr w:rsidR="000E1704" w:rsidRPr="00DC3695" w14:paraId="738522F3" w14:textId="77777777" w:rsidTr="000E1704">
        <w:trPr>
          <w:trHeight w:val="234"/>
          <w:jc w:val="center"/>
        </w:trPr>
        <w:tc>
          <w:tcPr>
            <w:tcW w:w="815" w:type="dxa"/>
            <w:tcBorders>
              <w:top w:val="nil"/>
              <w:left w:val="nil"/>
              <w:bottom w:val="nil"/>
              <w:right w:val="nil"/>
            </w:tcBorders>
            <w:vAlign w:val="center"/>
          </w:tcPr>
          <w:p w14:paraId="216116A0" w14:textId="77777777" w:rsidR="000E1704" w:rsidRPr="003843B5" w:rsidRDefault="000E1704" w:rsidP="000E1704">
            <w:pPr>
              <w:jc w:val="center"/>
            </w:pPr>
            <w:r w:rsidRPr="003843B5">
              <w:t>Pos</w:t>
            </w:r>
          </w:p>
        </w:tc>
        <w:tc>
          <w:tcPr>
            <w:tcW w:w="884" w:type="dxa"/>
            <w:gridSpan w:val="2"/>
            <w:tcBorders>
              <w:top w:val="nil"/>
              <w:left w:val="nil"/>
              <w:bottom w:val="nil"/>
              <w:right w:val="nil"/>
            </w:tcBorders>
            <w:vAlign w:val="center"/>
          </w:tcPr>
          <w:p w14:paraId="24ADACE0" w14:textId="20731EBE" w:rsidR="000E1704" w:rsidRPr="003843B5" w:rsidRDefault="00E4729C" w:rsidP="000E1704">
            <w:pPr>
              <w:jc w:val="center"/>
            </w:pPr>
            <w:r w:rsidRPr="003843B5">
              <w:t>6%</w:t>
            </w:r>
          </w:p>
        </w:tc>
        <w:tc>
          <w:tcPr>
            <w:tcW w:w="1001" w:type="dxa"/>
            <w:tcBorders>
              <w:top w:val="nil"/>
              <w:left w:val="nil"/>
              <w:bottom w:val="nil"/>
              <w:right w:val="nil"/>
            </w:tcBorders>
            <w:vAlign w:val="center"/>
          </w:tcPr>
          <w:p w14:paraId="35CDE26B" w14:textId="0EDD7FF7" w:rsidR="000E1704" w:rsidRPr="003843B5" w:rsidRDefault="00E4729C" w:rsidP="000E1704">
            <w:pPr>
              <w:jc w:val="center"/>
            </w:pPr>
            <w:r w:rsidRPr="003843B5">
              <w:t>89%</w:t>
            </w:r>
          </w:p>
        </w:tc>
        <w:tc>
          <w:tcPr>
            <w:tcW w:w="1440" w:type="dxa"/>
            <w:tcBorders>
              <w:top w:val="nil"/>
              <w:left w:val="nil"/>
              <w:bottom w:val="nil"/>
              <w:right w:val="nil"/>
            </w:tcBorders>
            <w:vAlign w:val="center"/>
          </w:tcPr>
          <w:p w14:paraId="367402EE" w14:textId="11E9BECA" w:rsidR="000E1704" w:rsidRPr="003843B5" w:rsidRDefault="00E4729C" w:rsidP="000E1704">
            <w:pPr>
              <w:jc w:val="center"/>
            </w:pPr>
            <w:r w:rsidRPr="003843B5">
              <w:t>5%</w:t>
            </w:r>
          </w:p>
        </w:tc>
        <w:tc>
          <w:tcPr>
            <w:tcW w:w="900" w:type="dxa"/>
            <w:tcBorders>
              <w:top w:val="nil"/>
              <w:left w:val="nil"/>
              <w:bottom w:val="nil"/>
              <w:right w:val="nil"/>
            </w:tcBorders>
            <w:vAlign w:val="center"/>
          </w:tcPr>
          <w:p w14:paraId="1BA1390F" w14:textId="16651F83" w:rsidR="000E1704" w:rsidRPr="003843B5" w:rsidRDefault="00E4729C" w:rsidP="000E1704">
            <w:pPr>
              <w:jc w:val="center"/>
            </w:pPr>
            <w:r w:rsidRPr="003843B5">
              <w:t>23%</w:t>
            </w:r>
          </w:p>
        </w:tc>
        <w:tc>
          <w:tcPr>
            <w:tcW w:w="1350" w:type="dxa"/>
            <w:tcBorders>
              <w:top w:val="nil"/>
              <w:left w:val="nil"/>
              <w:bottom w:val="nil"/>
              <w:right w:val="nil"/>
            </w:tcBorders>
            <w:vAlign w:val="center"/>
          </w:tcPr>
          <w:p w14:paraId="1316AAB3" w14:textId="3795563C" w:rsidR="000E1704" w:rsidRPr="003843B5" w:rsidRDefault="00E4729C" w:rsidP="000E1704">
            <w:pPr>
              <w:jc w:val="center"/>
            </w:pPr>
            <w:r w:rsidRPr="003843B5">
              <w:t>36%</w:t>
            </w:r>
          </w:p>
        </w:tc>
        <w:tc>
          <w:tcPr>
            <w:tcW w:w="796" w:type="dxa"/>
            <w:tcBorders>
              <w:top w:val="nil"/>
              <w:left w:val="nil"/>
              <w:bottom w:val="nil"/>
              <w:right w:val="nil"/>
            </w:tcBorders>
            <w:vAlign w:val="center"/>
          </w:tcPr>
          <w:p w14:paraId="679F5BFB" w14:textId="5CAC2DF9" w:rsidR="000E1704" w:rsidRPr="003843B5" w:rsidRDefault="00E4729C" w:rsidP="000E1704">
            <w:pPr>
              <w:jc w:val="center"/>
            </w:pPr>
            <w:r w:rsidRPr="003843B5">
              <w:t>41%</w:t>
            </w:r>
          </w:p>
        </w:tc>
        <w:tc>
          <w:tcPr>
            <w:tcW w:w="843" w:type="dxa"/>
            <w:tcBorders>
              <w:top w:val="nil"/>
              <w:left w:val="nil"/>
              <w:bottom w:val="nil"/>
              <w:right w:val="nil"/>
            </w:tcBorders>
            <w:vAlign w:val="center"/>
          </w:tcPr>
          <w:p w14:paraId="6798ACE9" w14:textId="4A8A48D1" w:rsidR="000E1704" w:rsidRPr="003843B5" w:rsidRDefault="00E4729C" w:rsidP="000E1704">
            <w:pPr>
              <w:jc w:val="center"/>
            </w:pPr>
            <w:r w:rsidRPr="003843B5">
              <w:t>22%</w:t>
            </w:r>
          </w:p>
        </w:tc>
        <w:tc>
          <w:tcPr>
            <w:tcW w:w="1277" w:type="dxa"/>
            <w:tcBorders>
              <w:top w:val="nil"/>
              <w:left w:val="nil"/>
              <w:bottom w:val="nil"/>
              <w:right w:val="nil"/>
            </w:tcBorders>
            <w:vAlign w:val="center"/>
          </w:tcPr>
          <w:p w14:paraId="672E42BB" w14:textId="7B99CAC4" w:rsidR="000E1704" w:rsidRPr="003843B5" w:rsidRDefault="00E4729C" w:rsidP="000E1704">
            <w:pPr>
              <w:jc w:val="center"/>
            </w:pPr>
            <w:r w:rsidRPr="003843B5">
              <w:t>51%</w:t>
            </w:r>
          </w:p>
        </w:tc>
        <w:tc>
          <w:tcPr>
            <w:tcW w:w="774" w:type="dxa"/>
            <w:tcBorders>
              <w:top w:val="nil"/>
              <w:left w:val="nil"/>
              <w:bottom w:val="nil"/>
              <w:right w:val="nil"/>
            </w:tcBorders>
            <w:vAlign w:val="center"/>
          </w:tcPr>
          <w:p w14:paraId="74C2E2D6" w14:textId="4651BAA4" w:rsidR="000E1704" w:rsidRPr="003843B5" w:rsidRDefault="00E4729C" w:rsidP="000E1704">
            <w:pPr>
              <w:jc w:val="center"/>
            </w:pPr>
            <w:r w:rsidRPr="003843B5">
              <w:t>27%</w:t>
            </w:r>
          </w:p>
        </w:tc>
      </w:tr>
    </w:tbl>
    <w:p w14:paraId="4102EAA1" w14:textId="2462B196" w:rsidR="001B17EF" w:rsidRPr="00490688" w:rsidRDefault="001B17EF" w:rsidP="001B17EF">
      <w:pPr>
        <w:rPr>
          <w:sz w:val="24"/>
          <w:szCs w:val="24"/>
        </w:rPr>
      </w:pPr>
      <w:r w:rsidRPr="00217902">
        <w:rPr>
          <w:rFonts w:eastAsia="Times New Roman"/>
          <w:bCs/>
          <w:kern w:val="36"/>
          <w:sz w:val="24"/>
          <w:szCs w:val="24"/>
        </w:rPr>
        <w:br w:type="page"/>
      </w:r>
      <w:r>
        <w:rPr>
          <w:rFonts w:eastAsia="Times New Roman"/>
          <w:b/>
          <w:bCs/>
          <w:kern w:val="36"/>
          <w:sz w:val="24"/>
          <w:szCs w:val="24"/>
        </w:rPr>
        <w:lastRenderedPageBreak/>
        <w:t>Table S</w:t>
      </w:r>
      <w:r w:rsidR="00A870F7">
        <w:rPr>
          <w:rFonts w:eastAsia="Times New Roman"/>
          <w:b/>
          <w:bCs/>
          <w:kern w:val="36"/>
          <w:sz w:val="24"/>
          <w:szCs w:val="24"/>
        </w:rPr>
        <w:t>3</w:t>
      </w:r>
      <w:r>
        <w:rPr>
          <w:rFonts w:eastAsia="Times New Roman"/>
          <w:b/>
          <w:bCs/>
          <w:kern w:val="36"/>
          <w:sz w:val="24"/>
          <w:szCs w:val="24"/>
        </w:rPr>
        <w:t xml:space="preserve">. </w:t>
      </w:r>
      <w:r w:rsidRPr="005C6541">
        <w:rPr>
          <w:rFonts w:eastAsia="Times New Roman"/>
          <w:b/>
          <w:bCs/>
          <w:kern w:val="36"/>
          <w:sz w:val="24"/>
          <w:szCs w:val="24"/>
        </w:rPr>
        <w:t xml:space="preserve">Matches of </w:t>
      </w:r>
      <w:r w:rsidRPr="005C6541">
        <w:rPr>
          <w:rFonts w:eastAsia="Times New Roman"/>
          <w:b/>
          <w:bCs/>
          <w:i/>
          <w:kern w:val="36"/>
          <w:sz w:val="24"/>
          <w:szCs w:val="24"/>
        </w:rPr>
        <w:t>m/z</w:t>
      </w:r>
      <w:r w:rsidRPr="005C6541">
        <w:rPr>
          <w:rFonts w:eastAsia="Times New Roman"/>
          <w:b/>
          <w:bCs/>
          <w:kern w:val="36"/>
          <w:sz w:val="24"/>
          <w:szCs w:val="24"/>
        </w:rPr>
        <w:t xml:space="preserve"> and fragments for putatively identified compounds discussed in the paper.</w:t>
      </w:r>
      <w:r w:rsidRPr="00217902">
        <w:rPr>
          <w:rFonts w:eastAsia="Times New Roman"/>
          <w:bCs/>
          <w:kern w:val="36"/>
          <w:sz w:val="24"/>
          <w:szCs w:val="24"/>
        </w:rPr>
        <w:t xml:space="preserve"> Column 2: the exact mass adjusted for either negative ion mode (</w:t>
      </w:r>
      <w:r w:rsidR="001F45CE">
        <w:rPr>
          <w:rFonts w:eastAsia="Times New Roman"/>
          <w:bCs/>
          <w:kern w:val="36"/>
          <w:sz w:val="24"/>
          <w:szCs w:val="24"/>
        </w:rPr>
        <w:t>[M</w:t>
      </w:r>
      <w:r w:rsidRPr="00217902">
        <w:rPr>
          <w:rFonts w:eastAsia="Times New Roman"/>
          <w:bCs/>
          <w:kern w:val="36"/>
          <w:sz w:val="24"/>
          <w:szCs w:val="24"/>
        </w:rPr>
        <w:t>-H</w:t>
      </w:r>
      <w:r w:rsidR="001F45CE">
        <w:rPr>
          <w:rFonts w:eastAsia="Times New Roman"/>
          <w:bCs/>
          <w:kern w:val="36"/>
          <w:sz w:val="24"/>
          <w:szCs w:val="24"/>
        </w:rPr>
        <w:t>]</w:t>
      </w:r>
      <w:r w:rsidR="001F45CE" w:rsidRPr="00D71AB5">
        <w:rPr>
          <w:rFonts w:eastAsia="Times New Roman"/>
          <w:bCs/>
          <w:kern w:val="36"/>
          <w:sz w:val="24"/>
          <w:szCs w:val="24"/>
          <w:vertAlign w:val="superscript"/>
        </w:rPr>
        <w:t>-</w:t>
      </w:r>
      <w:r w:rsidRPr="00217902">
        <w:rPr>
          <w:rFonts w:eastAsia="Times New Roman"/>
          <w:bCs/>
          <w:kern w:val="36"/>
          <w:sz w:val="24"/>
          <w:szCs w:val="24"/>
        </w:rPr>
        <w:t>) or positive ion mode (</w:t>
      </w:r>
      <w:r w:rsidR="001F45CE">
        <w:rPr>
          <w:rFonts w:eastAsia="Times New Roman"/>
          <w:bCs/>
          <w:kern w:val="36"/>
          <w:sz w:val="24"/>
          <w:szCs w:val="24"/>
        </w:rPr>
        <w:t>[M</w:t>
      </w:r>
      <w:r w:rsidRPr="00217902">
        <w:rPr>
          <w:rFonts w:eastAsia="Times New Roman"/>
          <w:bCs/>
          <w:kern w:val="36"/>
          <w:sz w:val="24"/>
          <w:szCs w:val="24"/>
        </w:rPr>
        <w:t>+H</w:t>
      </w:r>
      <w:r w:rsidR="001F45CE">
        <w:rPr>
          <w:rFonts w:eastAsia="Times New Roman"/>
          <w:bCs/>
          <w:kern w:val="36"/>
          <w:sz w:val="24"/>
          <w:szCs w:val="24"/>
        </w:rPr>
        <w:t>]</w:t>
      </w:r>
      <w:r w:rsidR="001F45CE" w:rsidRPr="00D71AB5">
        <w:rPr>
          <w:rFonts w:eastAsia="Times New Roman"/>
          <w:bCs/>
          <w:kern w:val="36"/>
          <w:sz w:val="24"/>
          <w:szCs w:val="24"/>
          <w:vertAlign w:val="superscript"/>
        </w:rPr>
        <w:t>+</w:t>
      </w:r>
      <w:r w:rsidRPr="00217902">
        <w:rPr>
          <w:rFonts w:eastAsia="Times New Roman"/>
          <w:bCs/>
          <w:kern w:val="36"/>
          <w:sz w:val="24"/>
          <w:szCs w:val="24"/>
        </w:rPr>
        <w:t xml:space="preserve">), Column 3: </w:t>
      </w:r>
      <w:r w:rsidR="001F45CE">
        <w:rPr>
          <w:rFonts w:eastAsia="Times New Roman"/>
          <w:bCs/>
          <w:kern w:val="36"/>
          <w:sz w:val="24"/>
          <w:szCs w:val="24"/>
        </w:rPr>
        <w:t xml:space="preserve">measured </w:t>
      </w:r>
      <w:r w:rsidRPr="00D71AB5">
        <w:rPr>
          <w:rFonts w:eastAsia="Times New Roman"/>
          <w:bCs/>
          <w:i/>
          <w:kern w:val="36"/>
          <w:sz w:val="24"/>
          <w:szCs w:val="24"/>
        </w:rPr>
        <w:t>m/z</w:t>
      </w:r>
      <w:r w:rsidRPr="00217902">
        <w:rPr>
          <w:rFonts w:eastAsia="Times New Roman"/>
          <w:bCs/>
          <w:kern w:val="36"/>
          <w:sz w:val="24"/>
          <w:szCs w:val="24"/>
        </w:rPr>
        <w:t xml:space="preserve"> of the feature in the untargeted data, Column 4: the ppm difference between the feature </w:t>
      </w:r>
      <w:r w:rsidRPr="00D71AB5">
        <w:rPr>
          <w:rFonts w:eastAsia="Times New Roman"/>
          <w:bCs/>
          <w:i/>
          <w:kern w:val="36"/>
          <w:sz w:val="24"/>
          <w:szCs w:val="24"/>
        </w:rPr>
        <w:t>m/z</w:t>
      </w:r>
      <w:r w:rsidRPr="00217902">
        <w:rPr>
          <w:rFonts w:eastAsia="Times New Roman"/>
          <w:bCs/>
          <w:kern w:val="36"/>
          <w:sz w:val="24"/>
          <w:szCs w:val="24"/>
        </w:rPr>
        <w:t xml:space="preserve"> and the adjusted exact mass, Column 5: the measured retention time</w:t>
      </w:r>
      <w:r w:rsidR="006F2216">
        <w:rPr>
          <w:rFonts w:eastAsia="Times New Roman"/>
          <w:bCs/>
          <w:kern w:val="36"/>
          <w:sz w:val="24"/>
          <w:szCs w:val="24"/>
        </w:rPr>
        <w:t xml:space="preserve"> (RT)</w:t>
      </w:r>
      <w:r w:rsidRPr="00217902">
        <w:rPr>
          <w:rFonts w:eastAsia="Times New Roman"/>
          <w:bCs/>
          <w:kern w:val="36"/>
          <w:sz w:val="24"/>
          <w:szCs w:val="24"/>
        </w:rPr>
        <w:t xml:space="preserve"> of the feature</w:t>
      </w:r>
      <w:r>
        <w:rPr>
          <w:rFonts w:eastAsia="Times New Roman"/>
          <w:bCs/>
          <w:kern w:val="36"/>
          <w:sz w:val="24"/>
          <w:szCs w:val="24"/>
        </w:rPr>
        <w:t xml:space="preserve"> in minutes</w:t>
      </w:r>
      <w:r w:rsidRPr="00217902">
        <w:rPr>
          <w:rFonts w:eastAsia="Times New Roman"/>
          <w:bCs/>
          <w:kern w:val="36"/>
          <w:sz w:val="24"/>
          <w:szCs w:val="24"/>
        </w:rPr>
        <w:t>, Column 6: possible fragments calculated from MetFrag that matched those of the feature, Column 7: fragments and their intensity</w:t>
      </w:r>
      <w:r w:rsidR="00D71AB5">
        <w:rPr>
          <w:rFonts w:eastAsia="Times New Roman"/>
          <w:bCs/>
          <w:kern w:val="36"/>
          <w:sz w:val="24"/>
          <w:szCs w:val="24"/>
        </w:rPr>
        <w:t xml:space="preserve"> relative to the highest peak</w:t>
      </w:r>
      <w:r w:rsidRPr="00217902">
        <w:rPr>
          <w:rFonts w:eastAsia="Times New Roman"/>
          <w:bCs/>
          <w:kern w:val="36"/>
          <w:sz w:val="24"/>
          <w:szCs w:val="24"/>
        </w:rPr>
        <w:t xml:space="preserve"> (after the comma) from the METLIN database that were generated in an Q-TOF mass spectrometer, Column 8: </w:t>
      </w:r>
      <w:r w:rsidR="006F2216">
        <w:rPr>
          <w:rFonts w:eastAsia="Times New Roman"/>
          <w:bCs/>
          <w:kern w:val="36"/>
          <w:sz w:val="24"/>
          <w:szCs w:val="24"/>
        </w:rPr>
        <w:t>Measured f</w:t>
      </w:r>
      <w:r w:rsidRPr="00217902">
        <w:rPr>
          <w:rFonts w:eastAsia="Times New Roman"/>
          <w:bCs/>
          <w:kern w:val="36"/>
          <w:sz w:val="24"/>
          <w:szCs w:val="24"/>
        </w:rPr>
        <w:t xml:space="preserve">ragments of the feature observed in the experiment and their intensity </w:t>
      </w:r>
      <w:r w:rsidR="00D71AB5">
        <w:rPr>
          <w:rFonts w:eastAsia="Times New Roman"/>
          <w:bCs/>
          <w:kern w:val="36"/>
          <w:sz w:val="24"/>
          <w:szCs w:val="24"/>
        </w:rPr>
        <w:t xml:space="preserve">relative to the highest peak </w:t>
      </w:r>
      <w:r w:rsidRPr="00217902">
        <w:rPr>
          <w:rFonts w:eastAsia="Times New Roman"/>
          <w:bCs/>
          <w:kern w:val="36"/>
          <w:sz w:val="24"/>
          <w:szCs w:val="24"/>
        </w:rPr>
        <w:t>(after the comma)</w:t>
      </w:r>
      <w:r w:rsidR="009A383D">
        <w:rPr>
          <w:rFonts w:eastAsia="Times New Roman"/>
          <w:bCs/>
          <w:kern w:val="36"/>
          <w:sz w:val="24"/>
          <w:szCs w:val="24"/>
        </w:rPr>
        <w:t xml:space="preserve">, </w:t>
      </w:r>
      <w:r w:rsidR="00563691">
        <w:rPr>
          <w:rFonts w:eastAsia="Times New Roman"/>
          <w:bCs/>
          <w:kern w:val="36"/>
          <w:sz w:val="24"/>
          <w:szCs w:val="24"/>
        </w:rPr>
        <w:t>Column 9</w:t>
      </w:r>
      <w:r w:rsidR="001F45CE">
        <w:rPr>
          <w:rFonts w:eastAsia="Times New Roman"/>
          <w:bCs/>
          <w:kern w:val="36"/>
          <w:sz w:val="24"/>
          <w:szCs w:val="24"/>
        </w:rPr>
        <w:t>:</w:t>
      </w:r>
      <w:r w:rsidR="00563691">
        <w:rPr>
          <w:rFonts w:eastAsia="Times New Roman"/>
          <w:bCs/>
          <w:kern w:val="36"/>
          <w:sz w:val="24"/>
          <w:szCs w:val="24"/>
        </w:rPr>
        <w:t xml:space="preserve"> T</w:t>
      </w:r>
      <w:r w:rsidR="009A383D">
        <w:rPr>
          <w:rFonts w:eastAsia="Times New Roman"/>
          <w:bCs/>
          <w:kern w:val="36"/>
          <w:sz w:val="24"/>
          <w:szCs w:val="24"/>
        </w:rPr>
        <w:t xml:space="preserve">he confidence ranking of identification based on the reporting standards proposed by </w:t>
      </w:r>
      <w:r w:rsidR="00702CB3">
        <w:rPr>
          <w:rFonts w:eastAsia="Times New Roman"/>
          <w:bCs/>
          <w:kern w:val="36"/>
          <w:sz w:val="24"/>
          <w:szCs w:val="24"/>
        </w:rPr>
        <w:t xml:space="preserve">Sumner et al. </w:t>
      </w:r>
      <w:r w:rsidR="009A383D">
        <w:rPr>
          <w:rFonts w:eastAsia="Times New Roman"/>
          <w:bCs/>
          <w:kern w:val="36"/>
          <w:sz w:val="24"/>
          <w:szCs w:val="24"/>
        </w:rPr>
        <w:fldChar w:fldCharType="begin" w:fldLock="1"/>
      </w:r>
      <w:r w:rsidR="00EB142B">
        <w:rPr>
          <w:rFonts w:eastAsia="Times New Roman"/>
          <w:bCs/>
          <w:kern w:val="36"/>
          <w:sz w:val="24"/>
          <w:szCs w:val="24"/>
        </w:rPr>
        <w:instrText>ADDIN CSL_CITATION { "citationItems" : [ { "id" : "ITEM-1", "itemData" : { "DOI" : "10.1007/s11306-007-0082-2", "ISBN" : "1130600700822", "ISSN" : "15733882", "PMID" : "24039616", "abstract" : "There is a general consensus that supports the need for standardized reporting of metadata or information describing large-scale metabolomics and other functional genomics data sets. Reporting of standard metadata provides a biological and empirical context for the data, facilitates experimental replication, and enables the re-interrogation and comparison of data by others. Accordingly, the Metabolomics Standards Initiative is building a general consensus concerning the minimum reporting standards for metabolomics experiments of which the Chemical Analysis Working Group (CAWG) is a member of this community effort. This article proposes the minimum reporting standards related to the chemical analysis aspects of metabolomics experiments including: sample preparation, experimental analysis, quality control, metabolite identification, and data pre-processing. These minimum standards currently focus mostly upon mass spectrometry and nuclear magnetic resonance spectroscopy due to the popularity of these techniques in metabolomics. However, additional input concerning other techniques is welcomed and can be provided via the CAWG on-line discussion forum at http://msi-workgroups.sourceforge.net/ or http://Msi-workgroups-feedback@lists.sourceforge.net. Further, community input related to this document can also be provided via this electronic forum.", "author" : [ { "dropping-particle" : "", "family" : "Sumner", "given" : "Lloyd W.", "non-dropping-particle" : "", "parse-names" : false, "suffix" : "" }, { "dropping-particle" : "", "family" : "Amberg", "given" : "Alexander", "non-dropping-particle" : "", "parse-names" : false, "suffix" : "" }, { "dropping-particle" : "", "family" : "Barrett", "given" : "Dave", "non-dropping-particle" : "", "parse-names" : false, "suffix" : "" }, { "dropping-particle" : "", "family" : "Beale", "given" : "Michael H.", "non-dropping-particle" : "", "parse-names" : false, "suffix" : "" }, { "dropping-particle" : "", "family" : "Beger", "given" : "Richard", "non-dropping-particle" : "", "parse-names" : false, "suffix" : "" }, { "dropping-particle" : "", "family" : "Daykin", "given" : "Clare A.", "non-dropping-particle" : "", "parse-names" : false, "suffix" : "" }, { "dropping-particle" : "", "family" : "Fan", "given" : "Teresa W M", "non-dropping-particle" : "", "parse-names" : false, "suffix" : "" }, { "dropping-particle" : "", "family" : "Fiehn", "given" : "Oliver", "non-dropping-particle" : "", "parse-names" : false, "suffix" : "" }, { "dropping-particle" : "", "family" : "Goodacre", "given" : "Royston", "non-dropping-particle" : "", "parse-names" : false, "suffix" : "" }, { "dropping-particle" : "", "family" : "Griffin", "given" : "Julian L.", "non-dropping-particle" : "", "parse-names" : false, "suffix" : "" }, { "dropping-particle" : "", "family" : "Hankemeier", "given" : "Thomas", "non-dropping-particle" : "", "parse-names" : false, "suffix" : "" }, { "dropping-particle" : "", "family" : "Hardy", "given" : "Nigel", "non-dropping-particle" : "", "parse-names" : false, "suffix" : "" }, { "dropping-particle" : "", "family" : "Harnly", "given" : "James", "non-dropping-particle" : "", "parse-names" : false, "suffix" : "" }, { "dropping-particle" : "", "family" : "Higashi", "given" : "Richard", "non-dropping-particle" : "", "parse-names" : false, "suffix" : "" }, { "dropping-particle" : "", "family" : "Kopka", "given" : "Joachim", "non-dropping-particle" : "", "parse-names" : false, "suffix" : "" }, { "dropping-particle" : "", "family" : "Lane", "given" : "Andrew N.", "non-dropping-particle" : "", "parse-names" : false, "suffix" : "" }, { "dropping-particle" : "", "family" : "Lindon", "given" : "John C.", "non-dropping-particle" : "", "parse-names" : false, "suffix" : "" }, { "dropping-particle" : "", "family" : "Marriott", "given" : "Philip", "non-dropping-particle" : "", "parse-names" : false, "suffix" : "" }, { "dropping-particle" : "", "family" : "Nicholls", "given" : "Andrew W.", "non-dropping-particle" : "", "parse-names" : false, "suffix" : "" }, { "dropping-particle" : "", "family" : "Reily", "given" : "Michael D.", "non-dropping-particle" : "", "parse-names" : false, "suffix" : "" }, { "dropping-particle" : "", "family" : "Thaden", "given" : "John J.", "non-dropping-particle" : "", "parse-names" : false, "suffix" : "" }, { "dropping-particle" : "", "family" : "Viant", "given" : "Mark R.", "non-dropping-particle" : "", "parse-names" : false, "suffix" : "" } ], "container-title" : "Metabolomics", "id" : "ITEM-1", "issued" : { "date-parts" : [ [ "2007" ] ] }, "page" : "211-221", "title" : "Proposed minimum reporting standards for chemical analysis: Chemical Analysis Working Group (CAWG) Metabolomics Standards Initiative (MSI)", "type" : "article-journal", "volume" : "3" }, "uris" : [ "http://www.mendeley.com/documents/?uuid=dd064a14-d9d3-4449-b8f9-7dd16754ebed" ] } ], "mendeley" : { "formattedCitation" : "(Sumner &lt;i&gt;et al.&lt;/i&gt;, 2007)", "manualFormatting" : "(2007)", "plainTextFormattedCitation" : "(Sumner et al., 2007)", "previouslyFormattedCitation" : "(Sumner &lt;i&gt;et al.&lt;/i&gt;, 2007)" }, "properties" : { "noteIndex" : 0 }, "schema" : "https://github.com/citation-style-language/schema/raw/master/csl-citation.json" }</w:instrText>
      </w:r>
      <w:r w:rsidR="009A383D">
        <w:rPr>
          <w:rFonts w:eastAsia="Times New Roman"/>
          <w:bCs/>
          <w:kern w:val="36"/>
          <w:sz w:val="24"/>
          <w:szCs w:val="24"/>
        </w:rPr>
        <w:fldChar w:fldCharType="separate"/>
      </w:r>
      <w:r w:rsidR="00702CB3">
        <w:rPr>
          <w:rFonts w:eastAsia="Times New Roman"/>
          <w:bCs/>
          <w:noProof/>
          <w:kern w:val="36"/>
          <w:sz w:val="24"/>
          <w:szCs w:val="24"/>
        </w:rPr>
        <w:t>(</w:t>
      </w:r>
      <w:r w:rsidR="009A383D" w:rsidRPr="009A383D">
        <w:rPr>
          <w:rFonts w:eastAsia="Times New Roman"/>
          <w:bCs/>
          <w:noProof/>
          <w:kern w:val="36"/>
          <w:sz w:val="24"/>
          <w:szCs w:val="24"/>
        </w:rPr>
        <w:t>2007)</w:t>
      </w:r>
      <w:r w:rsidR="009A383D">
        <w:rPr>
          <w:rFonts w:eastAsia="Times New Roman"/>
          <w:bCs/>
          <w:kern w:val="36"/>
          <w:sz w:val="24"/>
          <w:szCs w:val="24"/>
        </w:rPr>
        <w:fldChar w:fldCharType="end"/>
      </w:r>
      <w:r w:rsidR="00702CB3">
        <w:rPr>
          <w:rFonts w:eastAsia="Times New Roman"/>
          <w:bCs/>
          <w:kern w:val="36"/>
          <w:sz w:val="24"/>
          <w:szCs w:val="24"/>
        </w:rPr>
        <w:t xml:space="preserve"> where 1 is the highest confidence identification</w:t>
      </w:r>
      <w:r w:rsidRPr="00217902">
        <w:rPr>
          <w:rFonts w:eastAsia="Times New Roman"/>
          <w:bCs/>
          <w:kern w:val="36"/>
          <w:sz w:val="24"/>
          <w:szCs w:val="24"/>
        </w:rPr>
        <w:t>.</w:t>
      </w:r>
    </w:p>
    <w:p w14:paraId="27EFF98F" w14:textId="77777777" w:rsidR="001B17EF" w:rsidRPr="00217902" w:rsidRDefault="001B17EF" w:rsidP="001B17EF">
      <w:pPr>
        <w:rPr>
          <w:rFonts w:eastAsia="Times New Roman"/>
          <w:bCs/>
          <w:kern w:val="36"/>
          <w:sz w:val="24"/>
          <w:szCs w:val="24"/>
        </w:rPr>
      </w:pPr>
    </w:p>
    <w:tbl>
      <w:tblPr>
        <w:tblStyle w:val="TableGrid"/>
        <w:tblW w:w="954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3"/>
        <w:gridCol w:w="1083"/>
        <w:gridCol w:w="900"/>
        <w:gridCol w:w="720"/>
        <w:gridCol w:w="540"/>
        <w:gridCol w:w="1080"/>
        <w:gridCol w:w="990"/>
        <w:gridCol w:w="1080"/>
        <w:gridCol w:w="1170"/>
      </w:tblGrid>
      <w:tr w:rsidR="002D1F79" w:rsidRPr="00CF2FB4" w14:paraId="3E0F67CE" w14:textId="012E4437" w:rsidTr="008F1C45">
        <w:trPr>
          <w:jc w:val="center"/>
        </w:trPr>
        <w:tc>
          <w:tcPr>
            <w:tcW w:w="1983" w:type="dxa"/>
            <w:tcBorders>
              <w:top w:val="single" w:sz="4" w:space="0" w:color="auto"/>
              <w:bottom w:val="single" w:sz="4" w:space="0" w:color="auto"/>
            </w:tcBorders>
            <w:vAlign w:val="center"/>
          </w:tcPr>
          <w:p w14:paraId="3C4598F9" w14:textId="77777777" w:rsidR="009A383D" w:rsidRPr="00AC6DE0" w:rsidRDefault="009A383D" w:rsidP="00F81766">
            <w:pPr>
              <w:jc w:val="center"/>
              <w:rPr>
                <w:rFonts w:eastAsia="Times New Roman"/>
                <w:b/>
                <w:bCs/>
                <w:kern w:val="36"/>
                <w:sz w:val="18"/>
                <w:szCs w:val="18"/>
              </w:rPr>
            </w:pPr>
            <w:r w:rsidRPr="00AC6DE0">
              <w:rPr>
                <w:rFonts w:eastAsia="Times New Roman"/>
                <w:b/>
                <w:bCs/>
                <w:kern w:val="36"/>
                <w:sz w:val="18"/>
                <w:szCs w:val="18"/>
              </w:rPr>
              <w:t>Compound</w:t>
            </w:r>
          </w:p>
        </w:tc>
        <w:tc>
          <w:tcPr>
            <w:tcW w:w="1083" w:type="dxa"/>
            <w:tcBorders>
              <w:top w:val="single" w:sz="4" w:space="0" w:color="auto"/>
              <w:bottom w:val="single" w:sz="4" w:space="0" w:color="auto"/>
            </w:tcBorders>
            <w:vAlign w:val="center"/>
          </w:tcPr>
          <w:p w14:paraId="550A60DF" w14:textId="372AB55F" w:rsidR="009A383D" w:rsidRPr="00AC6DE0" w:rsidRDefault="009A383D" w:rsidP="00F81766">
            <w:pPr>
              <w:jc w:val="center"/>
              <w:rPr>
                <w:rFonts w:eastAsia="Times New Roman"/>
                <w:b/>
                <w:bCs/>
                <w:kern w:val="36"/>
                <w:sz w:val="18"/>
                <w:szCs w:val="18"/>
              </w:rPr>
            </w:pPr>
            <w:r w:rsidRPr="00AC6DE0">
              <w:rPr>
                <w:rFonts w:eastAsia="Times New Roman"/>
                <w:b/>
                <w:bCs/>
                <w:kern w:val="36"/>
                <w:sz w:val="18"/>
                <w:szCs w:val="18"/>
              </w:rPr>
              <w:t xml:space="preserve">Exact </w:t>
            </w:r>
            <w:r w:rsidR="006F2216">
              <w:rPr>
                <w:rFonts w:eastAsia="Times New Roman"/>
                <w:b/>
                <w:bCs/>
                <w:kern w:val="36"/>
                <w:sz w:val="18"/>
                <w:szCs w:val="18"/>
              </w:rPr>
              <w:t>m</w:t>
            </w:r>
            <w:r w:rsidRPr="00AC6DE0">
              <w:rPr>
                <w:rFonts w:eastAsia="Times New Roman"/>
                <w:b/>
                <w:bCs/>
                <w:kern w:val="36"/>
                <w:sz w:val="18"/>
                <w:szCs w:val="18"/>
              </w:rPr>
              <w:t>ass</w:t>
            </w:r>
          </w:p>
          <w:p w14:paraId="0A3331BE" w14:textId="32DDDF4A" w:rsidR="009A383D" w:rsidRPr="00AC6DE0" w:rsidRDefault="009A383D" w:rsidP="00F81766">
            <w:pPr>
              <w:jc w:val="center"/>
              <w:rPr>
                <w:rFonts w:eastAsia="Times New Roman"/>
                <w:b/>
                <w:bCs/>
                <w:kern w:val="36"/>
                <w:sz w:val="18"/>
                <w:szCs w:val="18"/>
              </w:rPr>
            </w:pPr>
          </w:p>
        </w:tc>
        <w:tc>
          <w:tcPr>
            <w:tcW w:w="900" w:type="dxa"/>
            <w:tcBorders>
              <w:top w:val="single" w:sz="4" w:space="0" w:color="auto"/>
              <w:bottom w:val="single" w:sz="4" w:space="0" w:color="auto"/>
            </w:tcBorders>
            <w:vAlign w:val="center"/>
          </w:tcPr>
          <w:p w14:paraId="6907FA9F" w14:textId="77777777" w:rsidR="009A383D" w:rsidRPr="00AC6DE0" w:rsidRDefault="009A383D" w:rsidP="00F81766">
            <w:pPr>
              <w:jc w:val="center"/>
              <w:rPr>
                <w:rFonts w:eastAsia="Times New Roman"/>
                <w:b/>
                <w:bCs/>
                <w:kern w:val="36"/>
                <w:sz w:val="18"/>
                <w:szCs w:val="18"/>
              </w:rPr>
            </w:pPr>
            <w:r w:rsidRPr="00AC6DE0">
              <w:rPr>
                <w:rFonts w:eastAsia="Times New Roman"/>
                <w:b/>
                <w:bCs/>
                <w:kern w:val="36"/>
                <w:sz w:val="18"/>
                <w:szCs w:val="18"/>
              </w:rPr>
              <w:t xml:space="preserve">Feature </w:t>
            </w:r>
            <w:r w:rsidRPr="00D1456D">
              <w:rPr>
                <w:rFonts w:eastAsia="Times New Roman"/>
                <w:b/>
                <w:bCs/>
                <w:i/>
                <w:kern w:val="36"/>
                <w:sz w:val="18"/>
                <w:szCs w:val="18"/>
              </w:rPr>
              <w:t>m/z</w:t>
            </w:r>
          </w:p>
        </w:tc>
        <w:tc>
          <w:tcPr>
            <w:tcW w:w="720" w:type="dxa"/>
            <w:tcBorders>
              <w:top w:val="single" w:sz="4" w:space="0" w:color="auto"/>
              <w:bottom w:val="single" w:sz="4" w:space="0" w:color="auto"/>
            </w:tcBorders>
            <w:vAlign w:val="center"/>
          </w:tcPr>
          <w:p w14:paraId="7226933B" w14:textId="77777777" w:rsidR="009A383D" w:rsidRPr="00D1456D" w:rsidRDefault="009A383D" w:rsidP="00F81766">
            <w:pPr>
              <w:jc w:val="center"/>
              <w:rPr>
                <w:rFonts w:eastAsia="Times New Roman"/>
                <w:b/>
                <w:bCs/>
                <w:kern w:val="36"/>
                <w:sz w:val="18"/>
                <w:szCs w:val="18"/>
              </w:rPr>
            </w:pPr>
            <w:r w:rsidRPr="00D1456D">
              <w:rPr>
                <w:rFonts w:eastAsia="Times New Roman"/>
                <w:b/>
                <w:bCs/>
                <w:kern w:val="36"/>
                <w:sz w:val="18"/>
                <w:szCs w:val="18"/>
              </w:rPr>
              <w:t>ppm match</w:t>
            </w:r>
          </w:p>
        </w:tc>
        <w:tc>
          <w:tcPr>
            <w:tcW w:w="540" w:type="dxa"/>
            <w:tcBorders>
              <w:top w:val="single" w:sz="4" w:space="0" w:color="auto"/>
              <w:bottom w:val="single" w:sz="4" w:space="0" w:color="auto"/>
            </w:tcBorders>
            <w:vAlign w:val="center"/>
          </w:tcPr>
          <w:p w14:paraId="4CEB26BC" w14:textId="77777777" w:rsidR="009A383D" w:rsidRPr="00AC6DE0" w:rsidRDefault="009A383D" w:rsidP="00F81766">
            <w:pPr>
              <w:jc w:val="center"/>
              <w:rPr>
                <w:rFonts w:eastAsia="Times New Roman"/>
                <w:b/>
                <w:bCs/>
                <w:kern w:val="36"/>
                <w:sz w:val="18"/>
                <w:szCs w:val="18"/>
              </w:rPr>
            </w:pPr>
            <w:r w:rsidRPr="00AC6DE0">
              <w:rPr>
                <w:rFonts w:eastAsia="Times New Roman"/>
                <w:b/>
                <w:bCs/>
                <w:kern w:val="36"/>
                <w:sz w:val="18"/>
                <w:szCs w:val="18"/>
              </w:rPr>
              <w:t>RT</w:t>
            </w:r>
          </w:p>
        </w:tc>
        <w:tc>
          <w:tcPr>
            <w:tcW w:w="1080" w:type="dxa"/>
            <w:tcBorders>
              <w:top w:val="single" w:sz="4" w:space="0" w:color="auto"/>
              <w:bottom w:val="single" w:sz="4" w:space="0" w:color="auto"/>
            </w:tcBorders>
            <w:vAlign w:val="center"/>
          </w:tcPr>
          <w:p w14:paraId="7439CE24" w14:textId="6E42393E" w:rsidR="009A383D" w:rsidRPr="00AC6DE0" w:rsidRDefault="009A383D" w:rsidP="006F2216">
            <w:pPr>
              <w:jc w:val="center"/>
              <w:rPr>
                <w:rFonts w:eastAsia="Times New Roman"/>
                <w:b/>
                <w:bCs/>
                <w:kern w:val="36"/>
                <w:sz w:val="18"/>
                <w:szCs w:val="18"/>
              </w:rPr>
            </w:pPr>
            <w:r w:rsidRPr="00AC6DE0">
              <w:rPr>
                <w:rFonts w:eastAsia="Times New Roman"/>
                <w:b/>
                <w:bCs/>
                <w:kern w:val="36"/>
                <w:sz w:val="18"/>
                <w:szCs w:val="18"/>
              </w:rPr>
              <w:t xml:space="preserve">Predicted MetFrag </w:t>
            </w:r>
            <w:r w:rsidR="006F2216">
              <w:rPr>
                <w:rFonts w:eastAsia="Times New Roman"/>
                <w:b/>
                <w:bCs/>
                <w:kern w:val="36"/>
                <w:sz w:val="18"/>
                <w:szCs w:val="18"/>
              </w:rPr>
              <w:t>f</w:t>
            </w:r>
            <w:r w:rsidRPr="00AC6DE0">
              <w:rPr>
                <w:rFonts w:eastAsia="Times New Roman"/>
                <w:b/>
                <w:bCs/>
                <w:kern w:val="36"/>
                <w:sz w:val="18"/>
                <w:szCs w:val="18"/>
              </w:rPr>
              <w:t>ragments</w:t>
            </w:r>
          </w:p>
        </w:tc>
        <w:tc>
          <w:tcPr>
            <w:tcW w:w="990" w:type="dxa"/>
            <w:tcBorders>
              <w:top w:val="single" w:sz="4" w:space="0" w:color="auto"/>
              <w:bottom w:val="single" w:sz="4" w:space="0" w:color="auto"/>
            </w:tcBorders>
            <w:vAlign w:val="center"/>
          </w:tcPr>
          <w:p w14:paraId="68A61EBB" w14:textId="77777777" w:rsidR="009A383D" w:rsidRPr="00AC6DE0" w:rsidRDefault="009A383D" w:rsidP="00F81766">
            <w:pPr>
              <w:jc w:val="center"/>
              <w:rPr>
                <w:rFonts w:eastAsia="Times New Roman"/>
                <w:b/>
                <w:bCs/>
                <w:kern w:val="36"/>
                <w:sz w:val="18"/>
                <w:szCs w:val="18"/>
              </w:rPr>
            </w:pPr>
            <w:r w:rsidRPr="00AC6DE0">
              <w:rPr>
                <w:rFonts w:eastAsia="Times New Roman"/>
                <w:b/>
                <w:bCs/>
                <w:kern w:val="36"/>
                <w:sz w:val="18"/>
                <w:szCs w:val="18"/>
              </w:rPr>
              <w:t>METLIN</w:t>
            </w:r>
          </w:p>
        </w:tc>
        <w:tc>
          <w:tcPr>
            <w:tcW w:w="1080" w:type="dxa"/>
            <w:tcBorders>
              <w:top w:val="single" w:sz="4" w:space="0" w:color="auto"/>
              <w:bottom w:val="single" w:sz="4" w:space="0" w:color="auto"/>
            </w:tcBorders>
            <w:vAlign w:val="center"/>
          </w:tcPr>
          <w:p w14:paraId="47F5DC40" w14:textId="1A6D2F8C" w:rsidR="009A383D" w:rsidRPr="00AC6DE0" w:rsidRDefault="006F2216" w:rsidP="00D1456D">
            <w:pPr>
              <w:jc w:val="center"/>
              <w:rPr>
                <w:rFonts w:eastAsia="Times New Roman"/>
                <w:b/>
                <w:bCs/>
                <w:kern w:val="36"/>
                <w:sz w:val="18"/>
                <w:szCs w:val="18"/>
              </w:rPr>
            </w:pPr>
            <w:r>
              <w:rPr>
                <w:rFonts w:eastAsia="Times New Roman"/>
                <w:b/>
                <w:bCs/>
                <w:kern w:val="36"/>
                <w:sz w:val="18"/>
                <w:szCs w:val="18"/>
              </w:rPr>
              <w:t xml:space="preserve">Measured </w:t>
            </w:r>
            <w:r w:rsidRPr="00AC6DE0">
              <w:rPr>
                <w:rFonts w:eastAsia="Times New Roman"/>
                <w:b/>
                <w:bCs/>
                <w:kern w:val="36"/>
                <w:sz w:val="18"/>
                <w:szCs w:val="18"/>
              </w:rPr>
              <w:t xml:space="preserve"> </w:t>
            </w:r>
            <w:r w:rsidR="009A383D" w:rsidRPr="00AC6DE0">
              <w:rPr>
                <w:rFonts w:eastAsia="Times New Roman"/>
                <w:b/>
                <w:bCs/>
                <w:kern w:val="36"/>
                <w:sz w:val="18"/>
                <w:szCs w:val="18"/>
              </w:rPr>
              <w:t>fragments</w:t>
            </w:r>
          </w:p>
        </w:tc>
        <w:tc>
          <w:tcPr>
            <w:tcW w:w="1170" w:type="dxa"/>
            <w:tcBorders>
              <w:top w:val="single" w:sz="4" w:space="0" w:color="auto"/>
              <w:bottom w:val="single" w:sz="4" w:space="0" w:color="auto"/>
            </w:tcBorders>
            <w:vAlign w:val="center"/>
          </w:tcPr>
          <w:p w14:paraId="66FBA2D5" w14:textId="28C6EAE9" w:rsidR="009A383D" w:rsidRPr="00AC6DE0" w:rsidRDefault="009A383D" w:rsidP="002D1F79">
            <w:pPr>
              <w:jc w:val="center"/>
              <w:rPr>
                <w:rFonts w:eastAsia="Times New Roman"/>
                <w:b/>
                <w:bCs/>
                <w:kern w:val="36"/>
                <w:sz w:val="18"/>
                <w:szCs w:val="18"/>
              </w:rPr>
            </w:pPr>
            <w:r>
              <w:rPr>
                <w:rFonts w:eastAsia="Times New Roman"/>
                <w:b/>
                <w:bCs/>
                <w:kern w:val="36"/>
                <w:sz w:val="18"/>
                <w:szCs w:val="18"/>
              </w:rPr>
              <w:t>Confidence Ranking</w:t>
            </w:r>
          </w:p>
        </w:tc>
      </w:tr>
      <w:tr w:rsidR="002D1F79" w:rsidRPr="00CF2FB4" w14:paraId="5D660886" w14:textId="5EA2AFB4" w:rsidTr="008F1C45">
        <w:trPr>
          <w:jc w:val="center"/>
        </w:trPr>
        <w:tc>
          <w:tcPr>
            <w:tcW w:w="1983" w:type="dxa"/>
            <w:tcBorders>
              <w:top w:val="single" w:sz="4" w:space="0" w:color="auto"/>
            </w:tcBorders>
            <w:vAlign w:val="center"/>
          </w:tcPr>
          <w:p w14:paraId="700E1A88" w14:textId="77777777" w:rsidR="009A383D" w:rsidRPr="00AC6DE0" w:rsidRDefault="009A383D" w:rsidP="00F81766">
            <w:pPr>
              <w:jc w:val="center"/>
              <w:rPr>
                <w:rFonts w:eastAsia="Times New Roman"/>
                <w:bCs/>
                <w:kern w:val="36"/>
                <w:sz w:val="18"/>
                <w:szCs w:val="18"/>
              </w:rPr>
            </w:pPr>
            <w:r w:rsidRPr="00AC6DE0">
              <w:rPr>
                <w:sz w:val="18"/>
                <w:szCs w:val="18"/>
              </w:rPr>
              <w:t>3-dehydro shikimate</w:t>
            </w:r>
          </w:p>
        </w:tc>
        <w:tc>
          <w:tcPr>
            <w:tcW w:w="1083" w:type="dxa"/>
            <w:tcBorders>
              <w:top w:val="single" w:sz="4" w:space="0" w:color="auto"/>
            </w:tcBorders>
            <w:vAlign w:val="center"/>
          </w:tcPr>
          <w:p w14:paraId="681CC54C"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171.0299</w:t>
            </w:r>
          </w:p>
        </w:tc>
        <w:tc>
          <w:tcPr>
            <w:tcW w:w="900" w:type="dxa"/>
            <w:tcBorders>
              <w:top w:val="single" w:sz="4" w:space="0" w:color="auto"/>
            </w:tcBorders>
            <w:vAlign w:val="center"/>
          </w:tcPr>
          <w:p w14:paraId="32C9D20C"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171.0300</w:t>
            </w:r>
          </w:p>
        </w:tc>
        <w:tc>
          <w:tcPr>
            <w:tcW w:w="720" w:type="dxa"/>
            <w:tcBorders>
              <w:top w:val="single" w:sz="4" w:space="0" w:color="auto"/>
            </w:tcBorders>
            <w:vAlign w:val="center"/>
          </w:tcPr>
          <w:p w14:paraId="038BDD3F" w14:textId="5F5A93BE" w:rsidR="009A383D" w:rsidRPr="00D1456D" w:rsidRDefault="009A383D" w:rsidP="00F81766">
            <w:pPr>
              <w:jc w:val="center"/>
              <w:rPr>
                <w:rFonts w:eastAsia="Times New Roman"/>
                <w:bCs/>
                <w:kern w:val="36"/>
                <w:sz w:val="18"/>
                <w:szCs w:val="18"/>
              </w:rPr>
            </w:pPr>
            <w:r w:rsidRPr="00D1456D">
              <w:rPr>
                <w:rFonts w:eastAsia="Times New Roman"/>
                <w:bCs/>
                <w:kern w:val="36"/>
                <w:sz w:val="18"/>
                <w:szCs w:val="18"/>
              </w:rPr>
              <w:t>0</w:t>
            </w:r>
            <w:r w:rsidR="00E6234E" w:rsidRPr="00D1456D">
              <w:rPr>
                <w:rFonts w:eastAsia="Times New Roman"/>
                <w:bCs/>
                <w:kern w:val="36"/>
                <w:sz w:val="18"/>
                <w:szCs w:val="18"/>
              </w:rPr>
              <w:t>.6</w:t>
            </w:r>
          </w:p>
        </w:tc>
        <w:tc>
          <w:tcPr>
            <w:tcW w:w="540" w:type="dxa"/>
            <w:tcBorders>
              <w:top w:val="single" w:sz="4" w:space="0" w:color="auto"/>
            </w:tcBorders>
            <w:vAlign w:val="center"/>
          </w:tcPr>
          <w:p w14:paraId="27B366EC"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4.8</w:t>
            </w:r>
          </w:p>
        </w:tc>
        <w:tc>
          <w:tcPr>
            <w:tcW w:w="1080" w:type="dxa"/>
            <w:tcBorders>
              <w:top w:val="single" w:sz="4" w:space="0" w:color="auto"/>
            </w:tcBorders>
          </w:tcPr>
          <w:p w14:paraId="28802595"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127.0</w:t>
            </w:r>
          </w:p>
          <w:p w14:paraId="572E814C"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83.0</w:t>
            </w:r>
          </w:p>
          <w:p w14:paraId="2E2314FB"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141.0</w:t>
            </w:r>
          </w:p>
        </w:tc>
        <w:tc>
          <w:tcPr>
            <w:tcW w:w="990" w:type="dxa"/>
            <w:tcBorders>
              <w:top w:val="single" w:sz="4" w:space="0" w:color="auto"/>
            </w:tcBorders>
          </w:tcPr>
          <w:p w14:paraId="12E8A8E5"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171.0, 100</w:t>
            </w:r>
          </w:p>
          <w:p w14:paraId="02A40627"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127.0, 26</w:t>
            </w:r>
          </w:p>
          <w:p w14:paraId="698CB90B"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109, 7</w:t>
            </w:r>
          </w:p>
          <w:p w14:paraId="56A3C1A6"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81.0, 1</w:t>
            </w:r>
          </w:p>
        </w:tc>
        <w:tc>
          <w:tcPr>
            <w:tcW w:w="1080" w:type="dxa"/>
            <w:tcBorders>
              <w:top w:val="single" w:sz="4" w:space="0" w:color="auto"/>
            </w:tcBorders>
          </w:tcPr>
          <w:p w14:paraId="6348E84D"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127.0, 100</w:t>
            </w:r>
          </w:p>
          <w:p w14:paraId="7F04BA7E"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83.0, 21</w:t>
            </w:r>
          </w:p>
          <w:p w14:paraId="737382E2"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102.9, 9</w:t>
            </w:r>
          </w:p>
          <w:p w14:paraId="317115E8"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141.0, 3</w:t>
            </w:r>
          </w:p>
          <w:p w14:paraId="5A623E38"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171.0, 50</w:t>
            </w:r>
          </w:p>
          <w:p w14:paraId="05F9DB7D" w14:textId="77777777" w:rsidR="009A383D" w:rsidRPr="00AC6DE0" w:rsidRDefault="009A383D" w:rsidP="00F81766">
            <w:pPr>
              <w:rPr>
                <w:rFonts w:eastAsia="Times New Roman"/>
                <w:bCs/>
                <w:kern w:val="36"/>
                <w:sz w:val="18"/>
                <w:szCs w:val="18"/>
              </w:rPr>
            </w:pPr>
          </w:p>
        </w:tc>
        <w:tc>
          <w:tcPr>
            <w:tcW w:w="1170" w:type="dxa"/>
            <w:tcBorders>
              <w:top w:val="single" w:sz="4" w:space="0" w:color="auto"/>
            </w:tcBorders>
            <w:vAlign w:val="center"/>
          </w:tcPr>
          <w:p w14:paraId="223B6808" w14:textId="03E7AB08" w:rsidR="009A383D" w:rsidRPr="00AC6DE0" w:rsidRDefault="009A383D" w:rsidP="002D1F79">
            <w:pPr>
              <w:jc w:val="center"/>
              <w:rPr>
                <w:rFonts w:eastAsia="Times New Roman"/>
                <w:bCs/>
                <w:kern w:val="36"/>
                <w:sz w:val="18"/>
                <w:szCs w:val="18"/>
              </w:rPr>
            </w:pPr>
            <w:r>
              <w:rPr>
                <w:rFonts w:eastAsia="Times New Roman"/>
                <w:bCs/>
                <w:kern w:val="36"/>
                <w:sz w:val="18"/>
                <w:szCs w:val="18"/>
              </w:rPr>
              <w:t>2</w:t>
            </w:r>
          </w:p>
        </w:tc>
      </w:tr>
      <w:tr w:rsidR="002D1F79" w:rsidRPr="00CF2FB4" w14:paraId="5AEB8B8A" w14:textId="5C12B400" w:rsidTr="008F1C45">
        <w:trPr>
          <w:jc w:val="center"/>
        </w:trPr>
        <w:tc>
          <w:tcPr>
            <w:tcW w:w="1983" w:type="dxa"/>
            <w:vAlign w:val="center"/>
          </w:tcPr>
          <w:p w14:paraId="2E61ECC6" w14:textId="77777777" w:rsidR="009A383D" w:rsidRPr="00AC6DE0" w:rsidRDefault="009A383D" w:rsidP="00F81766">
            <w:pPr>
              <w:jc w:val="center"/>
              <w:rPr>
                <w:rFonts w:eastAsia="Times New Roman"/>
                <w:bCs/>
                <w:kern w:val="36"/>
                <w:sz w:val="18"/>
                <w:szCs w:val="18"/>
              </w:rPr>
            </w:pPr>
            <w:r w:rsidRPr="00AC6DE0">
              <w:rPr>
                <w:sz w:val="18"/>
                <w:szCs w:val="18"/>
              </w:rPr>
              <w:t>shikimate</w:t>
            </w:r>
          </w:p>
        </w:tc>
        <w:tc>
          <w:tcPr>
            <w:tcW w:w="1083" w:type="dxa"/>
            <w:vAlign w:val="center"/>
          </w:tcPr>
          <w:p w14:paraId="7DC53793"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173.0455</w:t>
            </w:r>
          </w:p>
        </w:tc>
        <w:tc>
          <w:tcPr>
            <w:tcW w:w="900" w:type="dxa"/>
            <w:vAlign w:val="center"/>
          </w:tcPr>
          <w:p w14:paraId="11F205D4"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173.0457</w:t>
            </w:r>
          </w:p>
        </w:tc>
        <w:tc>
          <w:tcPr>
            <w:tcW w:w="720" w:type="dxa"/>
            <w:vAlign w:val="center"/>
          </w:tcPr>
          <w:p w14:paraId="0CD66093" w14:textId="4218F94D" w:rsidR="009A383D" w:rsidRPr="00D1456D" w:rsidRDefault="00E6234E" w:rsidP="00F81766">
            <w:pPr>
              <w:jc w:val="center"/>
              <w:rPr>
                <w:rFonts w:eastAsia="Times New Roman"/>
                <w:bCs/>
                <w:kern w:val="36"/>
                <w:sz w:val="18"/>
                <w:szCs w:val="18"/>
              </w:rPr>
            </w:pPr>
            <w:r w:rsidRPr="00D1456D">
              <w:rPr>
                <w:rFonts w:eastAsia="Times New Roman"/>
                <w:bCs/>
                <w:kern w:val="36"/>
                <w:sz w:val="18"/>
                <w:szCs w:val="18"/>
              </w:rPr>
              <w:t>1.2</w:t>
            </w:r>
          </w:p>
        </w:tc>
        <w:tc>
          <w:tcPr>
            <w:tcW w:w="540" w:type="dxa"/>
            <w:vAlign w:val="center"/>
          </w:tcPr>
          <w:p w14:paraId="1743909E"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7.7</w:t>
            </w:r>
          </w:p>
        </w:tc>
        <w:tc>
          <w:tcPr>
            <w:tcW w:w="1080" w:type="dxa"/>
          </w:tcPr>
          <w:p w14:paraId="160FAD21"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129.0</w:t>
            </w:r>
          </w:p>
          <w:p w14:paraId="72719983"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127.0</w:t>
            </w:r>
          </w:p>
          <w:p w14:paraId="0B1B1E38"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111.0</w:t>
            </w:r>
          </w:p>
        </w:tc>
        <w:tc>
          <w:tcPr>
            <w:tcW w:w="990" w:type="dxa"/>
          </w:tcPr>
          <w:p w14:paraId="2A6305EA"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173.0, 100</w:t>
            </w:r>
          </w:p>
          <w:p w14:paraId="33E6A4FF"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93.0, 9</w:t>
            </w:r>
          </w:p>
          <w:p w14:paraId="32548CF3"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111.0, 7</w:t>
            </w:r>
          </w:p>
          <w:p w14:paraId="70B01699"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137.0, 4</w:t>
            </w:r>
          </w:p>
          <w:p w14:paraId="2E5FE0FF"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129.0, 0</w:t>
            </w:r>
          </w:p>
          <w:p w14:paraId="2F476264" w14:textId="77777777" w:rsidR="009A383D" w:rsidRPr="00AC6DE0" w:rsidRDefault="009A383D" w:rsidP="00F81766">
            <w:pPr>
              <w:rPr>
                <w:rFonts w:eastAsia="Times New Roman"/>
                <w:bCs/>
                <w:kern w:val="36"/>
                <w:sz w:val="18"/>
                <w:szCs w:val="18"/>
              </w:rPr>
            </w:pPr>
          </w:p>
        </w:tc>
        <w:tc>
          <w:tcPr>
            <w:tcW w:w="1080" w:type="dxa"/>
          </w:tcPr>
          <w:p w14:paraId="6096624E"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129.0, 100</w:t>
            </w:r>
          </w:p>
          <w:p w14:paraId="04462B39"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127.0, 39</w:t>
            </w:r>
          </w:p>
          <w:p w14:paraId="12F4D7DE"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111.0, 15</w:t>
            </w:r>
          </w:p>
          <w:p w14:paraId="560A0EED"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173.0, 70</w:t>
            </w:r>
          </w:p>
        </w:tc>
        <w:tc>
          <w:tcPr>
            <w:tcW w:w="1170" w:type="dxa"/>
            <w:vAlign w:val="center"/>
          </w:tcPr>
          <w:p w14:paraId="54904D93" w14:textId="3BF62A2E" w:rsidR="009A383D" w:rsidRPr="00AC6DE0" w:rsidRDefault="009A383D" w:rsidP="002D1F79">
            <w:pPr>
              <w:jc w:val="center"/>
              <w:rPr>
                <w:rFonts w:eastAsia="Times New Roman"/>
                <w:bCs/>
                <w:kern w:val="36"/>
                <w:sz w:val="18"/>
                <w:szCs w:val="18"/>
              </w:rPr>
            </w:pPr>
            <w:r>
              <w:rPr>
                <w:rFonts w:eastAsia="Times New Roman"/>
                <w:bCs/>
                <w:kern w:val="36"/>
                <w:sz w:val="18"/>
                <w:szCs w:val="18"/>
              </w:rPr>
              <w:t>2</w:t>
            </w:r>
          </w:p>
        </w:tc>
      </w:tr>
      <w:tr w:rsidR="002D1F79" w:rsidRPr="00CF2FB4" w14:paraId="069F5166" w14:textId="6E1D3361" w:rsidTr="008F1C45">
        <w:trPr>
          <w:jc w:val="center"/>
        </w:trPr>
        <w:tc>
          <w:tcPr>
            <w:tcW w:w="1983" w:type="dxa"/>
            <w:vAlign w:val="center"/>
          </w:tcPr>
          <w:p w14:paraId="3DD19157" w14:textId="77777777" w:rsidR="009A383D" w:rsidRPr="00AC6DE0" w:rsidRDefault="009A383D" w:rsidP="00F81766">
            <w:pPr>
              <w:jc w:val="center"/>
              <w:rPr>
                <w:sz w:val="18"/>
                <w:szCs w:val="18"/>
              </w:rPr>
            </w:pPr>
            <w:r w:rsidRPr="00AC6DE0">
              <w:rPr>
                <w:sz w:val="18"/>
                <w:szCs w:val="18"/>
              </w:rPr>
              <w:t>chorismate</w:t>
            </w:r>
          </w:p>
        </w:tc>
        <w:tc>
          <w:tcPr>
            <w:tcW w:w="1083" w:type="dxa"/>
            <w:vAlign w:val="center"/>
          </w:tcPr>
          <w:p w14:paraId="2BC192FE"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225.0405</w:t>
            </w:r>
          </w:p>
        </w:tc>
        <w:tc>
          <w:tcPr>
            <w:tcW w:w="900" w:type="dxa"/>
            <w:vAlign w:val="center"/>
          </w:tcPr>
          <w:p w14:paraId="3C30F2B0"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225.0406</w:t>
            </w:r>
          </w:p>
        </w:tc>
        <w:tc>
          <w:tcPr>
            <w:tcW w:w="720" w:type="dxa"/>
            <w:vAlign w:val="center"/>
          </w:tcPr>
          <w:p w14:paraId="3CDB30AA" w14:textId="3920BDE2" w:rsidR="009A383D" w:rsidRPr="00D1456D" w:rsidRDefault="009A383D" w:rsidP="00F81766">
            <w:pPr>
              <w:jc w:val="center"/>
              <w:rPr>
                <w:rFonts w:eastAsia="Times New Roman"/>
                <w:bCs/>
                <w:kern w:val="36"/>
                <w:sz w:val="18"/>
                <w:szCs w:val="18"/>
              </w:rPr>
            </w:pPr>
            <w:r w:rsidRPr="00D1456D">
              <w:rPr>
                <w:rFonts w:eastAsia="Times New Roman"/>
                <w:bCs/>
                <w:kern w:val="36"/>
                <w:sz w:val="18"/>
                <w:szCs w:val="18"/>
              </w:rPr>
              <w:t>0</w:t>
            </w:r>
            <w:r w:rsidR="00E6234E" w:rsidRPr="00D1456D">
              <w:rPr>
                <w:rFonts w:eastAsia="Times New Roman"/>
                <w:bCs/>
                <w:kern w:val="36"/>
                <w:sz w:val="18"/>
                <w:szCs w:val="18"/>
              </w:rPr>
              <w:t>.4</w:t>
            </w:r>
          </w:p>
        </w:tc>
        <w:tc>
          <w:tcPr>
            <w:tcW w:w="540" w:type="dxa"/>
            <w:vAlign w:val="center"/>
          </w:tcPr>
          <w:p w14:paraId="3FE6C4B9"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8.3</w:t>
            </w:r>
          </w:p>
        </w:tc>
        <w:tc>
          <w:tcPr>
            <w:tcW w:w="1080" w:type="dxa"/>
          </w:tcPr>
          <w:p w14:paraId="1315B451"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tc>
        <w:tc>
          <w:tcPr>
            <w:tcW w:w="990" w:type="dxa"/>
          </w:tcPr>
          <w:p w14:paraId="42B3495D"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tc>
        <w:tc>
          <w:tcPr>
            <w:tcW w:w="1080" w:type="dxa"/>
          </w:tcPr>
          <w:p w14:paraId="731248A1"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p w14:paraId="1F792C25" w14:textId="77777777" w:rsidR="009A383D" w:rsidRPr="00AC6DE0" w:rsidRDefault="009A383D" w:rsidP="00F81766">
            <w:pPr>
              <w:rPr>
                <w:rFonts w:eastAsia="Times New Roman"/>
                <w:bCs/>
                <w:kern w:val="36"/>
                <w:sz w:val="18"/>
                <w:szCs w:val="18"/>
              </w:rPr>
            </w:pPr>
          </w:p>
        </w:tc>
        <w:tc>
          <w:tcPr>
            <w:tcW w:w="1170" w:type="dxa"/>
            <w:vAlign w:val="center"/>
          </w:tcPr>
          <w:p w14:paraId="7148F7B6" w14:textId="211AE2CF" w:rsidR="009A383D" w:rsidRPr="00AC6DE0" w:rsidRDefault="009A383D" w:rsidP="002D1F79">
            <w:pPr>
              <w:jc w:val="center"/>
              <w:rPr>
                <w:rFonts w:eastAsia="Times New Roman"/>
                <w:bCs/>
                <w:kern w:val="36"/>
                <w:sz w:val="18"/>
                <w:szCs w:val="18"/>
              </w:rPr>
            </w:pPr>
            <w:r>
              <w:rPr>
                <w:rFonts w:eastAsia="Times New Roman"/>
                <w:bCs/>
                <w:kern w:val="36"/>
                <w:sz w:val="18"/>
                <w:szCs w:val="18"/>
              </w:rPr>
              <w:t>3</w:t>
            </w:r>
          </w:p>
        </w:tc>
      </w:tr>
      <w:tr w:rsidR="002D1F79" w:rsidRPr="00CF2FB4" w14:paraId="1B14650C" w14:textId="1753FB7A" w:rsidTr="008F1C45">
        <w:trPr>
          <w:jc w:val="center"/>
        </w:trPr>
        <w:tc>
          <w:tcPr>
            <w:tcW w:w="1983" w:type="dxa"/>
            <w:vAlign w:val="center"/>
          </w:tcPr>
          <w:p w14:paraId="2902743F" w14:textId="77777777" w:rsidR="009A383D" w:rsidRPr="00AC6DE0" w:rsidRDefault="009A383D" w:rsidP="00F81766">
            <w:pPr>
              <w:jc w:val="center"/>
              <w:rPr>
                <w:sz w:val="18"/>
                <w:szCs w:val="18"/>
              </w:rPr>
            </w:pPr>
            <w:r w:rsidRPr="00AC6DE0">
              <w:rPr>
                <w:sz w:val="18"/>
                <w:szCs w:val="18"/>
              </w:rPr>
              <w:t>phenylpyruvate</w:t>
            </w:r>
          </w:p>
        </w:tc>
        <w:tc>
          <w:tcPr>
            <w:tcW w:w="1083" w:type="dxa"/>
            <w:vAlign w:val="center"/>
          </w:tcPr>
          <w:p w14:paraId="5E326595"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163.0401</w:t>
            </w:r>
          </w:p>
        </w:tc>
        <w:tc>
          <w:tcPr>
            <w:tcW w:w="900" w:type="dxa"/>
            <w:vAlign w:val="center"/>
          </w:tcPr>
          <w:p w14:paraId="4E6FF705"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163.0402</w:t>
            </w:r>
          </w:p>
        </w:tc>
        <w:tc>
          <w:tcPr>
            <w:tcW w:w="720" w:type="dxa"/>
            <w:vAlign w:val="center"/>
          </w:tcPr>
          <w:p w14:paraId="38645841" w14:textId="65D56529" w:rsidR="009A383D" w:rsidRPr="00D1456D" w:rsidRDefault="009A383D" w:rsidP="00F81766">
            <w:pPr>
              <w:jc w:val="center"/>
              <w:rPr>
                <w:rFonts w:eastAsia="Times New Roman"/>
                <w:bCs/>
                <w:kern w:val="36"/>
                <w:sz w:val="18"/>
                <w:szCs w:val="18"/>
              </w:rPr>
            </w:pPr>
            <w:r w:rsidRPr="00D1456D">
              <w:rPr>
                <w:rFonts w:eastAsia="Times New Roman"/>
                <w:bCs/>
                <w:kern w:val="36"/>
                <w:sz w:val="18"/>
                <w:szCs w:val="18"/>
              </w:rPr>
              <w:t>0</w:t>
            </w:r>
            <w:r w:rsidR="00E6234E" w:rsidRPr="00D1456D">
              <w:rPr>
                <w:rFonts w:eastAsia="Times New Roman"/>
                <w:bCs/>
                <w:kern w:val="36"/>
                <w:sz w:val="18"/>
                <w:szCs w:val="18"/>
              </w:rPr>
              <w:t>.6</w:t>
            </w:r>
          </w:p>
        </w:tc>
        <w:tc>
          <w:tcPr>
            <w:tcW w:w="540" w:type="dxa"/>
            <w:vAlign w:val="center"/>
          </w:tcPr>
          <w:p w14:paraId="7C9A7C7E"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10.2</w:t>
            </w:r>
          </w:p>
        </w:tc>
        <w:tc>
          <w:tcPr>
            <w:tcW w:w="1080" w:type="dxa"/>
            <w:vAlign w:val="center"/>
          </w:tcPr>
          <w:p w14:paraId="4DA6E788"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p w14:paraId="170D2CB1" w14:textId="77777777" w:rsidR="009A383D" w:rsidRPr="00AC6DE0" w:rsidRDefault="009A383D" w:rsidP="00F81766">
            <w:pPr>
              <w:rPr>
                <w:rFonts w:eastAsia="Times New Roman"/>
                <w:bCs/>
                <w:kern w:val="36"/>
                <w:sz w:val="18"/>
                <w:szCs w:val="18"/>
              </w:rPr>
            </w:pPr>
          </w:p>
        </w:tc>
        <w:tc>
          <w:tcPr>
            <w:tcW w:w="990" w:type="dxa"/>
            <w:vAlign w:val="center"/>
          </w:tcPr>
          <w:p w14:paraId="6F78456F"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p w14:paraId="740CA9EF" w14:textId="77777777" w:rsidR="009A383D" w:rsidRPr="00AC6DE0" w:rsidRDefault="009A383D" w:rsidP="00F81766">
            <w:pPr>
              <w:rPr>
                <w:rFonts w:eastAsia="Times New Roman"/>
                <w:bCs/>
                <w:kern w:val="36"/>
                <w:sz w:val="18"/>
                <w:szCs w:val="18"/>
              </w:rPr>
            </w:pPr>
          </w:p>
        </w:tc>
        <w:tc>
          <w:tcPr>
            <w:tcW w:w="1080" w:type="dxa"/>
            <w:vAlign w:val="center"/>
          </w:tcPr>
          <w:p w14:paraId="24E02458" w14:textId="77777777" w:rsidR="009A383D" w:rsidRPr="00AC6DE0" w:rsidRDefault="009A383D" w:rsidP="00F81766">
            <w:pPr>
              <w:rPr>
                <w:rFonts w:eastAsia="Times New Roman"/>
                <w:bCs/>
                <w:kern w:val="36"/>
                <w:sz w:val="18"/>
                <w:szCs w:val="18"/>
              </w:rPr>
            </w:pPr>
            <w:r w:rsidRPr="00AC6DE0">
              <w:rPr>
                <w:rFonts w:eastAsia="Times New Roman"/>
                <w:bCs/>
                <w:kern w:val="36"/>
                <w:sz w:val="18"/>
                <w:szCs w:val="18"/>
              </w:rPr>
              <w:t>--</w:t>
            </w:r>
          </w:p>
          <w:p w14:paraId="45DF1AD0" w14:textId="77777777" w:rsidR="009A383D" w:rsidRPr="00AC6DE0" w:rsidRDefault="009A383D" w:rsidP="00F81766">
            <w:pPr>
              <w:rPr>
                <w:rFonts w:eastAsia="Times New Roman"/>
                <w:bCs/>
                <w:kern w:val="36"/>
                <w:sz w:val="18"/>
                <w:szCs w:val="18"/>
              </w:rPr>
            </w:pPr>
          </w:p>
        </w:tc>
        <w:tc>
          <w:tcPr>
            <w:tcW w:w="1170" w:type="dxa"/>
            <w:vAlign w:val="center"/>
          </w:tcPr>
          <w:p w14:paraId="0BE342A0" w14:textId="43E95724" w:rsidR="009A383D" w:rsidRPr="00AC6DE0" w:rsidRDefault="009A383D" w:rsidP="002D1F79">
            <w:pPr>
              <w:jc w:val="center"/>
              <w:rPr>
                <w:rFonts w:eastAsia="Times New Roman"/>
                <w:bCs/>
                <w:kern w:val="36"/>
                <w:sz w:val="18"/>
                <w:szCs w:val="18"/>
              </w:rPr>
            </w:pPr>
            <w:r>
              <w:rPr>
                <w:rFonts w:eastAsia="Times New Roman"/>
                <w:bCs/>
                <w:kern w:val="36"/>
                <w:sz w:val="18"/>
                <w:szCs w:val="18"/>
              </w:rPr>
              <w:t>3</w:t>
            </w:r>
          </w:p>
        </w:tc>
      </w:tr>
      <w:tr w:rsidR="002D1F79" w:rsidRPr="00CF2FB4" w14:paraId="041365DE" w14:textId="287FBCA8" w:rsidTr="008F1C45">
        <w:trPr>
          <w:jc w:val="center"/>
        </w:trPr>
        <w:tc>
          <w:tcPr>
            <w:tcW w:w="1983" w:type="dxa"/>
            <w:vAlign w:val="center"/>
          </w:tcPr>
          <w:p w14:paraId="749F374D" w14:textId="1384AFE6" w:rsidR="009A383D" w:rsidRPr="00EA0488" w:rsidRDefault="00E36E6D" w:rsidP="00F81766">
            <w:pPr>
              <w:jc w:val="center"/>
              <w:rPr>
                <w:sz w:val="18"/>
                <w:szCs w:val="18"/>
              </w:rPr>
            </w:pPr>
            <w:r>
              <w:rPr>
                <w:sz w:val="18"/>
                <w:szCs w:val="18"/>
              </w:rPr>
              <w:t>3-</w:t>
            </w:r>
            <w:r w:rsidR="009A383D" w:rsidRPr="00EA0488">
              <w:rPr>
                <w:sz w:val="18"/>
                <w:szCs w:val="18"/>
              </w:rPr>
              <w:t>(methylthio)propionate</w:t>
            </w:r>
          </w:p>
        </w:tc>
        <w:tc>
          <w:tcPr>
            <w:tcW w:w="1083" w:type="dxa"/>
            <w:vAlign w:val="center"/>
          </w:tcPr>
          <w:p w14:paraId="1B1976F1" w14:textId="46785B28" w:rsidR="009A383D" w:rsidRPr="00AC6DE0" w:rsidRDefault="009A383D" w:rsidP="00F81766">
            <w:pPr>
              <w:jc w:val="center"/>
              <w:rPr>
                <w:rFonts w:eastAsia="Times New Roman"/>
                <w:bCs/>
                <w:kern w:val="36"/>
                <w:sz w:val="18"/>
                <w:szCs w:val="18"/>
              </w:rPr>
            </w:pPr>
            <w:r>
              <w:rPr>
                <w:rFonts w:eastAsia="Times New Roman"/>
                <w:bCs/>
                <w:kern w:val="36"/>
                <w:sz w:val="18"/>
                <w:szCs w:val="18"/>
              </w:rPr>
              <w:t>119.0172</w:t>
            </w:r>
          </w:p>
        </w:tc>
        <w:tc>
          <w:tcPr>
            <w:tcW w:w="900" w:type="dxa"/>
            <w:vAlign w:val="center"/>
          </w:tcPr>
          <w:p w14:paraId="3AF4B9AB" w14:textId="27142972"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119.0173</w:t>
            </w:r>
          </w:p>
        </w:tc>
        <w:tc>
          <w:tcPr>
            <w:tcW w:w="720" w:type="dxa"/>
            <w:vAlign w:val="center"/>
          </w:tcPr>
          <w:p w14:paraId="59839ED9" w14:textId="37B806A1" w:rsidR="009A383D" w:rsidRPr="00D1456D" w:rsidRDefault="009A383D" w:rsidP="00F81766">
            <w:pPr>
              <w:jc w:val="center"/>
              <w:rPr>
                <w:rFonts w:eastAsia="Times New Roman"/>
                <w:bCs/>
                <w:kern w:val="36"/>
                <w:sz w:val="18"/>
                <w:szCs w:val="18"/>
              </w:rPr>
            </w:pPr>
            <w:r w:rsidRPr="00D1456D">
              <w:rPr>
                <w:rFonts w:eastAsia="Times New Roman"/>
                <w:bCs/>
                <w:kern w:val="36"/>
                <w:sz w:val="18"/>
                <w:szCs w:val="18"/>
              </w:rPr>
              <w:t>0</w:t>
            </w:r>
            <w:r w:rsidR="00E6234E" w:rsidRPr="00D1456D">
              <w:rPr>
                <w:rFonts w:eastAsia="Times New Roman"/>
                <w:bCs/>
                <w:kern w:val="36"/>
                <w:sz w:val="18"/>
                <w:szCs w:val="18"/>
              </w:rPr>
              <w:t>.8</w:t>
            </w:r>
          </w:p>
        </w:tc>
        <w:tc>
          <w:tcPr>
            <w:tcW w:w="540" w:type="dxa"/>
            <w:vAlign w:val="center"/>
          </w:tcPr>
          <w:p w14:paraId="0DE87A40" w14:textId="77777777"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7.8 int/</w:t>
            </w:r>
          </w:p>
          <w:p w14:paraId="2971E0D9" w14:textId="2AA6AEC9" w:rsidR="009A383D" w:rsidRPr="00AC6DE0" w:rsidRDefault="009A383D" w:rsidP="00F81766">
            <w:pPr>
              <w:jc w:val="center"/>
              <w:rPr>
                <w:rFonts w:eastAsia="Times New Roman"/>
                <w:bCs/>
                <w:kern w:val="36"/>
                <w:sz w:val="18"/>
                <w:szCs w:val="18"/>
              </w:rPr>
            </w:pPr>
            <w:r w:rsidRPr="00AC6DE0">
              <w:rPr>
                <w:rFonts w:eastAsia="Times New Roman"/>
                <w:bCs/>
                <w:kern w:val="36"/>
                <w:sz w:val="18"/>
                <w:szCs w:val="18"/>
              </w:rPr>
              <w:t>7.2 ext</w:t>
            </w:r>
          </w:p>
        </w:tc>
        <w:tc>
          <w:tcPr>
            <w:tcW w:w="1080" w:type="dxa"/>
          </w:tcPr>
          <w:p w14:paraId="10CB9B88" w14:textId="255C8FA3" w:rsidR="009A383D" w:rsidRPr="00AC6DE0" w:rsidRDefault="009A383D" w:rsidP="00326B41">
            <w:pPr>
              <w:rPr>
                <w:rFonts w:eastAsia="Times New Roman"/>
                <w:bCs/>
                <w:kern w:val="36"/>
                <w:sz w:val="18"/>
                <w:szCs w:val="18"/>
              </w:rPr>
            </w:pPr>
            <w:r w:rsidRPr="00AC6DE0">
              <w:rPr>
                <w:rFonts w:eastAsia="Times New Roman"/>
                <w:bCs/>
                <w:kern w:val="36"/>
                <w:sz w:val="18"/>
                <w:szCs w:val="18"/>
              </w:rPr>
              <w:t>--</w:t>
            </w:r>
          </w:p>
        </w:tc>
        <w:tc>
          <w:tcPr>
            <w:tcW w:w="990" w:type="dxa"/>
          </w:tcPr>
          <w:p w14:paraId="6E1A7ACF" w14:textId="2CFD5EE8" w:rsidR="009A383D" w:rsidRPr="00AC6DE0" w:rsidRDefault="009A383D" w:rsidP="00326B41">
            <w:pPr>
              <w:rPr>
                <w:rFonts w:eastAsia="Times New Roman"/>
                <w:bCs/>
                <w:kern w:val="36"/>
                <w:sz w:val="18"/>
                <w:szCs w:val="18"/>
              </w:rPr>
            </w:pPr>
            <w:r w:rsidRPr="00AC6DE0">
              <w:rPr>
                <w:rFonts w:eastAsia="Times New Roman"/>
                <w:bCs/>
                <w:kern w:val="36"/>
                <w:sz w:val="18"/>
                <w:szCs w:val="18"/>
              </w:rPr>
              <w:t>--</w:t>
            </w:r>
          </w:p>
        </w:tc>
        <w:tc>
          <w:tcPr>
            <w:tcW w:w="1080" w:type="dxa"/>
          </w:tcPr>
          <w:p w14:paraId="08E63F34" w14:textId="29579B9F" w:rsidR="009A383D" w:rsidRPr="00AC6DE0" w:rsidRDefault="009A383D" w:rsidP="00326B41">
            <w:pPr>
              <w:rPr>
                <w:rFonts w:eastAsia="Times New Roman"/>
                <w:bCs/>
                <w:kern w:val="36"/>
                <w:sz w:val="18"/>
                <w:szCs w:val="18"/>
              </w:rPr>
            </w:pPr>
            <w:r w:rsidRPr="00AC6DE0">
              <w:rPr>
                <w:rFonts w:eastAsia="Times New Roman"/>
                <w:bCs/>
                <w:kern w:val="36"/>
                <w:sz w:val="18"/>
                <w:szCs w:val="18"/>
              </w:rPr>
              <w:t>--</w:t>
            </w:r>
          </w:p>
        </w:tc>
        <w:tc>
          <w:tcPr>
            <w:tcW w:w="1170" w:type="dxa"/>
            <w:vAlign w:val="center"/>
          </w:tcPr>
          <w:p w14:paraId="47754C47" w14:textId="24310A11" w:rsidR="009A383D" w:rsidRPr="00AC6DE0" w:rsidRDefault="009A383D" w:rsidP="002D1F79">
            <w:pPr>
              <w:jc w:val="center"/>
              <w:rPr>
                <w:rFonts w:eastAsia="Times New Roman"/>
                <w:bCs/>
                <w:kern w:val="36"/>
                <w:sz w:val="18"/>
                <w:szCs w:val="18"/>
              </w:rPr>
            </w:pPr>
            <w:r>
              <w:rPr>
                <w:rFonts w:eastAsia="Times New Roman"/>
                <w:bCs/>
                <w:kern w:val="36"/>
                <w:sz w:val="18"/>
                <w:szCs w:val="18"/>
              </w:rPr>
              <w:t>3</w:t>
            </w:r>
          </w:p>
        </w:tc>
      </w:tr>
      <w:tr w:rsidR="00E36E6D" w:rsidRPr="00CF2FB4" w14:paraId="5F8732C9" w14:textId="77777777" w:rsidTr="008F1C45">
        <w:trPr>
          <w:jc w:val="center"/>
        </w:trPr>
        <w:tc>
          <w:tcPr>
            <w:tcW w:w="1983" w:type="dxa"/>
            <w:vAlign w:val="center"/>
          </w:tcPr>
          <w:p w14:paraId="05BCDACE" w14:textId="24E6BA8D" w:rsidR="00E36E6D" w:rsidRDefault="00E36E6D" w:rsidP="00F81766">
            <w:pPr>
              <w:jc w:val="center"/>
              <w:rPr>
                <w:sz w:val="18"/>
                <w:szCs w:val="18"/>
              </w:rPr>
            </w:pPr>
            <w:r w:rsidRPr="00E36E6D">
              <w:rPr>
                <w:i/>
                <w:sz w:val="18"/>
                <w:szCs w:val="18"/>
              </w:rPr>
              <w:t>N</w:t>
            </w:r>
            <w:r>
              <w:rPr>
                <w:sz w:val="18"/>
                <w:szCs w:val="18"/>
              </w:rPr>
              <w:t>-(3-oxotetradecanoyl)-L-homoserine lactone</w:t>
            </w:r>
          </w:p>
        </w:tc>
        <w:tc>
          <w:tcPr>
            <w:tcW w:w="1083" w:type="dxa"/>
            <w:vAlign w:val="center"/>
          </w:tcPr>
          <w:p w14:paraId="3922C5BC" w14:textId="63FF24E6" w:rsidR="00E36E6D" w:rsidRDefault="00E36E6D" w:rsidP="00F81766">
            <w:pPr>
              <w:jc w:val="center"/>
              <w:rPr>
                <w:rFonts w:eastAsia="Times New Roman"/>
                <w:bCs/>
                <w:kern w:val="36"/>
                <w:sz w:val="18"/>
                <w:szCs w:val="18"/>
              </w:rPr>
            </w:pPr>
            <w:r>
              <w:rPr>
                <w:rFonts w:eastAsia="Times New Roman"/>
                <w:bCs/>
                <w:kern w:val="36"/>
                <w:sz w:val="18"/>
                <w:szCs w:val="18"/>
              </w:rPr>
              <w:t>326.2326</w:t>
            </w:r>
          </w:p>
        </w:tc>
        <w:tc>
          <w:tcPr>
            <w:tcW w:w="900" w:type="dxa"/>
            <w:vAlign w:val="center"/>
          </w:tcPr>
          <w:p w14:paraId="0608A048" w14:textId="4E377C79" w:rsidR="00E36E6D" w:rsidRPr="00AC6DE0" w:rsidRDefault="00E36E6D" w:rsidP="00F81766">
            <w:pPr>
              <w:jc w:val="center"/>
              <w:rPr>
                <w:rFonts w:eastAsia="Times New Roman"/>
                <w:bCs/>
                <w:kern w:val="36"/>
                <w:sz w:val="18"/>
                <w:szCs w:val="18"/>
              </w:rPr>
            </w:pPr>
            <w:r>
              <w:rPr>
                <w:rFonts w:eastAsia="Times New Roman"/>
                <w:bCs/>
                <w:kern w:val="36"/>
                <w:sz w:val="18"/>
                <w:szCs w:val="18"/>
              </w:rPr>
              <w:t>326.2327</w:t>
            </w:r>
          </w:p>
        </w:tc>
        <w:tc>
          <w:tcPr>
            <w:tcW w:w="720" w:type="dxa"/>
            <w:vAlign w:val="center"/>
          </w:tcPr>
          <w:p w14:paraId="13F99B9D" w14:textId="41AEFD88" w:rsidR="00E36E6D" w:rsidRPr="00D1456D" w:rsidRDefault="00E36E6D" w:rsidP="00F81766">
            <w:pPr>
              <w:jc w:val="center"/>
              <w:rPr>
                <w:rFonts w:eastAsia="Times New Roman"/>
                <w:bCs/>
                <w:kern w:val="36"/>
                <w:sz w:val="18"/>
                <w:szCs w:val="18"/>
              </w:rPr>
            </w:pPr>
            <w:r w:rsidRPr="00D1456D">
              <w:rPr>
                <w:rFonts w:eastAsia="Times New Roman"/>
                <w:bCs/>
                <w:kern w:val="36"/>
                <w:sz w:val="18"/>
                <w:szCs w:val="18"/>
              </w:rPr>
              <w:t>0.3</w:t>
            </w:r>
          </w:p>
        </w:tc>
        <w:tc>
          <w:tcPr>
            <w:tcW w:w="540" w:type="dxa"/>
            <w:vAlign w:val="center"/>
          </w:tcPr>
          <w:p w14:paraId="69D38503" w14:textId="7141207F" w:rsidR="00E36E6D" w:rsidRPr="00AC6DE0" w:rsidRDefault="00E36E6D" w:rsidP="00F81766">
            <w:pPr>
              <w:jc w:val="center"/>
              <w:rPr>
                <w:rFonts w:eastAsia="Times New Roman"/>
                <w:bCs/>
                <w:kern w:val="36"/>
                <w:sz w:val="18"/>
                <w:szCs w:val="18"/>
              </w:rPr>
            </w:pPr>
            <w:r>
              <w:rPr>
                <w:rFonts w:eastAsia="Times New Roman"/>
                <w:bCs/>
                <w:kern w:val="36"/>
                <w:sz w:val="18"/>
                <w:szCs w:val="18"/>
              </w:rPr>
              <w:t>23.7</w:t>
            </w:r>
          </w:p>
        </w:tc>
        <w:tc>
          <w:tcPr>
            <w:tcW w:w="1080" w:type="dxa"/>
          </w:tcPr>
          <w:p w14:paraId="72A2C005" w14:textId="6A889D06" w:rsidR="00E36E6D" w:rsidRPr="00AC6DE0" w:rsidRDefault="00E36E6D" w:rsidP="00326B41">
            <w:pPr>
              <w:rPr>
                <w:rFonts w:eastAsia="Times New Roman"/>
                <w:bCs/>
                <w:kern w:val="36"/>
                <w:sz w:val="18"/>
                <w:szCs w:val="18"/>
              </w:rPr>
            </w:pPr>
            <w:r>
              <w:rPr>
                <w:rFonts w:eastAsia="Times New Roman"/>
                <w:bCs/>
                <w:kern w:val="36"/>
                <w:sz w:val="18"/>
                <w:szCs w:val="18"/>
              </w:rPr>
              <w:t>--</w:t>
            </w:r>
          </w:p>
        </w:tc>
        <w:tc>
          <w:tcPr>
            <w:tcW w:w="990" w:type="dxa"/>
          </w:tcPr>
          <w:p w14:paraId="15FCD6CF" w14:textId="77777777" w:rsidR="00E36E6D" w:rsidRDefault="00E36E6D" w:rsidP="00602931">
            <w:pPr>
              <w:rPr>
                <w:rFonts w:eastAsia="Times New Roman"/>
                <w:bCs/>
                <w:kern w:val="36"/>
                <w:sz w:val="18"/>
                <w:szCs w:val="18"/>
              </w:rPr>
            </w:pPr>
            <w:r>
              <w:rPr>
                <w:rFonts w:eastAsia="Times New Roman"/>
                <w:bCs/>
                <w:kern w:val="36"/>
                <w:sz w:val="18"/>
                <w:szCs w:val="18"/>
              </w:rPr>
              <w:t>326.2, 100</w:t>
            </w:r>
          </w:p>
          <w:p w14:paraId="1FC97EB2" w14:textId="77777777" w:rsidR="00E36E6D" w:rsidRDefault="00E36E6D" w:rsidP="00602931">
            <w:pPr>
              <w:rPr>
                <w:rFonts w:eastAsia="Times New Roman"/>
                <w:bCs/>
                <w:kern w:val="36"/>
                <w:sz w:val="18"/>
                <w:szCs w:val="18"/>
              </w:rPr>
            </w:pPr>
            <w:r>
              <w:rPr>
                <w:rFonts w:eastAsia="Times New Roman"/>
                <w:bCs/>
                <w:kern w:val="36"/>
                <w:sz w:val="18"/>
                <w:szCs w:val="18"/>
              </w:rPr>
              <w:t>102.1, 97</w:t>
            </w:r>
          </w:p>
          <w:p w14:paraId="68AD6A4A" w14:textId="100E2EAF" w:rsidR="00E36E6D" w:rsidRPr="00AC6DE0" w:rsidRDefault="00E36E6D" w:rsidP="00326B41">
            <w:pPr>
              <w:rPr>
                <w:rFonts w:eastAsia="Times New Roman"/>
                <w:bCs/>
                <w:kern w:val="36"/>
                <w:sz w:val="18"/>
                <w:szCs w:val="18"/>
              </w:rPr>
            </w:pPr>
            <w:r>
              <w:rPr>
                <w:rFonts w:eastAsia="Times New Roman"/>
                <w:bCs/>
                <w:kern w:val="36"/>
                <w:sz w:val="18"/>
                <w:szCs w:val="18"/>
              </w:rPr>
              <w:t>225.2, 76</w:t>
            </w:r>
          </w:p>
        </w:tc>
        <w:tc>
          <w:tcPr>
            <w:tcW w:w="1080" w:type="dxa"/>
          </w:tcPr>
          <w:p w14:paraId="0B21B603" w14:textId="77777777" w:rsidR="00E36E6D" w:rsidRDefault="00E36E6D" w:rsidP="00602931">
            <w:pPr>
              <w:rPr>
                <w:rFonts w:eastAsia="Times New Roman"/>
                <w:bCs/>
                <w:kern w:val="36"/>
                <w:sz w:val="18"/>
                <w:szCs w:val="18"/>
              </w:rPr>
            </w:pPr>
            <w:r>
              <w:rPr>
                <w:rFonts w:eastAsia="Times New Roman"/>
                <w:bCs/>
                <w:kern w:val="36"/>
                <w:sz w:val="18"/>
                <w:szCs w:val="18"/>
              </w:rPr>
              <w:t>327.0, 7</w:t>
            </w:r>
          </w:p>
          <w:p w14:paraId="27503AAD" w14:textId="77777777" w:rsidR="00E36E6D" w:rsidRDefault="00E36E6D" w:rsidP="00602931">
            <w:pPr>
              <w:rPr>
                <w:rFonts w:eastAsia="Times New Roman"/>
                <w:bCs/>
                <w:kern w:val="36"/>
                <w:sz w:val="18"/>
                <w:szCs w:val="18"/>
              </w:rPr>
            </w:pPr>
            <w:r>
              <w:rPr>
                <w:rFonts w:eastAsia="Times New Roman"/>
                <w:bCs/>
                <w:kern w:val="36"/>
                <w:sz w:val="18"/>
                <w:szCs w:val="18"/>
              </w:rPr>
              <w:t>101.9, 24</w:t>
            </w:r>
          </w:p>
          <w:p w14:paraId="4BE7D16B" w14:textId="77777777" w:rsidR="00E36E6D" w:rsidRDefault="00E36E6D" w:rsidP="00602931">
            <w:pPr>
              <w:rPr>
                <w:rFonts w:eastAsia="Times New Roman"/>
                <w:bCs/>
                <w:kern w:val="36"/>
                <w:sz w:val="18"/>
                <w:szCs w:val="18"/>
              </w:rPr>
            </w:pPr>
            <w:r>
              <w:rPr>
                <w:rFonts w:eastAsia="Times New Roman"/>
                <w:bCs/>
                <w:kern w:val="36"/>
                <w:sz w:val="18"/>
                <w:szCs w:val="18"/>
              </w:rPr>
              <w:t>225.1, 100</w:t>
            </w:r>
          </w:p>
          <w:p w14:paraId="5FD37711" w14:textId="1759D628" w:rsidR="00E36E6D" w:rsidRPr="00AC6DE0" w:rsidRDefault="00E36E6D" w:rsidP="00326B41">
            <w:pPr>
              <w:rPr>
                <w:rFonts w:eastAsia="Times New Roman"/>
                <w:bCs/>
                <w:kern w:val="36"/>
                <w:sz w:val="18"/>
                <w:szCs w:val="18"/>
              </w:rPr>
            </w:pPr>
            <w:r>
              <w:rPr>
                <w:rFonts w:eastAsia="Times New Roman"/>
                <w:bCs/>
                <w:kern w:val="36"/>
                <w:sz w:val="18"/>
                <w:szCs w:val="18"/>
              </w:rPr>
              <w:t>270.1, 9</w:t>
            </w:r>
          </w:p>
        </w:tc>
        <w:tc>
          <w:tcPr>
            <w:tcW w:w="1170" w:type="dxa"/>
            <w:vAlign w:val="center"/>
          </w:tcPr>
          <w:p w14:paraId="4E8BAD61" w14:textId="6C797FAA" w:rsidR="00E36E6D" w:rsidRDefault="00E36E6D" w:rsidP="002D1F79">
            <w:pPr>
              <w:jc w:val="center"/>
              <w:rPr>
                <w:rFonts w:eastAsia="Times New Roman"/>
                <w:bCs/>
                <w:kern w:val="36"/>
                <w:sz w:val="18"/>
                <w:szCs w:val="18"/>
              </w:rPr>
            </w:pPr>
            <w:r>
              <w:rPr>
                <w:rFonts w:eastAsia="Times New Roman"/>
                <w:bCs/>
                <w:kern w:val="36"/>
                <w:sz w:val="18"/>
                <w:szCs w:val="18"/>
              </w:rPr>
              <w:t>1</w:t>
            </w:r>
          </w:p>
        </w:tc>
      </w:tr>
      <w:tr w:rsidR="00E36E6D" w:rsidRPr="00CF2FB4" w14:paraId="44229C03" w14:textId="79FC1210" w:rsidTr="008F1C45">
        <w:trPr>
          <w:jc w:val="center"/>
        </w:trPr>
        <w:tc>
          <w:tcPr>
            <w:tcW w:w="1983" w:type="dxa"/>
            <w:vAlign w:val="center"/>
          </w:tcPr>
          <w:p w14:paraId="78753BC6" w14:textId="77777777" w:rsidR="00E36E6D" w:rsidRPr="00EA0488" w:rsidRDefault="00E36E6D" w:rsidP="00F81766">
            <w:pPr>
              <w:jc w:val="center"/>
              <w:rPr>
                <w:rFonts w:eastAsia="Times New Roman"/>
                <w:bCs/>
                <w:kern w:val="36"/>
                <w:sz w:val="18"/>
                <w:szCs w:val="18"/>
              </w:rPr>
            </w:pPr>
            <w:r w:rsidRPr="00EA0488">
              <w:rPr>
                <w:color w:val="000000"/>
                <w:sz w:val="18"/>
                <w:szCs w:val="18"/>
              </w:rPr>
              <w:t>α</w:t>
            </w:r>
            <w:r w:rsidRPr="00EA0488">
              <w:rPr>
                <w:rFonts w:eastAsia="Times New Roman"/>
                <w:bCs/>
                <w:kern w:val="36"/>
                <w:sz w:val="18"/>
                <w:szCs w:val="18"/>
              </w:rPr>
              <w:t>-ribazole*</w:t>
            </w:r>
          </w:p>
        </w:tc>
        <w:tc>
          <w:tcPr>
            <w:tcW w:w="1083" w:type="dxa"/>
            <w:vAlign w:val="center"/>
          </w:tcPr>
          <w:p w14:paraId="44830088" w14:textId="77777777" w:rsidR="00E36E6D" w:rsidRPr="00AC6DE0" w:rsidRDefault="00E36E6D" w:rsidP="00F81766">
            <w:pPr>
              <w:jc w:val="center"/>
              <w:rPr>
                <w:rFonts w:eastAsia="Times New Roman"/>
                <w:bCs/>
                <w:kern w:val="36"/>
                <w:sz w:val="18"/>
                <w:szCs w:val="18"/>
              </w:rPr>
            </w:pPr>
            <w:r w:rsidRPr="00AC6DE0">
              <w:rPr>
                <w:rFonts w:eastAsia="Times New Roman"/>
                <w:bCs/>
                <w:kern w:val="36"/>
                <w:sz w:val="18"/>
                <w:szCs w:val="18"/>
              </w:rPr>
              <w:t>279.1339</w:t>
            </w:r>
          </w:p>
        </w:tc>
        <w:tc>
          <w:tcPr>
            <w:tcW w:w="900" w:type="dxa"/>
            <w:vAlign w:val="center"/>
          </w:tcPr>
          <w:p w14:paraId="70B846EE" w14:textId="77777777" w:rsidR="00E36E6D" w:rsidRPr="00AC6DE0" w:rsidRDefault="00E36E6D" w:rsidP="00F81766">
            <w:pPr>
              <w:jc w:val="center"/>
              <w:rPr>
                <w:rFonts w:eastAsia="Times New Roman"/>
                <w:bCs/>
                <w:kern w:val="36"/>
                <w:sz w:val="18"/>
                <w:szCs w:val="18"/>
              </w:rPr>
            </w:pPr>
            <w:r w:rsidRPr="00AC6DE0">
              <w:rPr>
                <w:rFonts w:eastAsia="Times New Roman"/>
                <w:bCs/>
                <w:kern w:val="36"/>
                <w:sz w:val="18"/>
                <w:szCs w:val="18"/>
              </w:rPr>
              <w:t>279.1340</w:t>
            </w:r>
          </w:p>
        </w:tc>
        <w:tc>
          <w:tcPr>
            <w:tcW w:w="720" w:type="dxa"/>
            <w:vAlign w:val="center"/>
          </w:tcPr>
          <w:p w14:paraId="68861D62" w14:textId="0FE270FA" w:rsidR="00E36E6D" w:rsidRPr="00D1456D" w:rsidRDefault="00E36E6D" w:rsidP="00F81766">
            <w:pPr>
              <w:jc w:val="center"/>
              <w:rPr>
                <w:rFonts w:eastAsia="Times New Roman"/>
                <w:bCs/>
                <w:kern w:val="36"/>
                <w:sz w:val="18"/>
                <w:szCs w:val="18"/>
              </w:rPr>
            </w:pPr>
            <w:r w:rsidRPr="00D1456D">
              <w:rPr>
                <w:rFonts w:eastAsia="Times New Roman"/>
                <w:bCs/>
                <w:kern w:val="36"/>
                <w:sz w:val="18"/>
                <w:szCs w:val="18"/>
              </w:rPr>
              <w:t>0.4</w:t>
            </w:r>
          </w:p>
        </w:tc>
        <w:tc>
          <w:tcPr>
            <w:tcW w:w="540" w:type="dxa"/>
            <w:vAlign w:val="center"/>
          </w:tcPr>
          <w:p w14:paraId="7C221B6E" w14:textId="77777777" w:rsidR="00E36E6D" w:rsidRPr="00AC6DE0" w:rsidRDefault="00E36E6D" w:rsidP="00F81766">
            <w:pPr>
              <w:jc w:val="center"/>
              <w:rPr>
                <w:rFonts w:eastAsia="Times New Roman"/>
                <w:bCs/>
                <w:kern w:val="36"/>
                <w:sz w:val="18"/>
                <w:szCs w:val="18"/>
              </w:rPr>
            </w:pPr>
            <w:r w:rsidRPr="00AC6DE0">
              <w:rPr>
                <w:rFonts w:eastAsia="Times New Roman"/>
                <w:bCs/>
                <w:kern w:val="36"/>
                <w:sz w:val="18"/>
                <w:szCs w:val="18"/>
              </w:rPr>
              <w:t>6.6</w:t>
            </w:r>
          </w:p>
        </w:tc>
        <w:tc>
          <w:tcPr>
            <w:tcW w:w="1080" w:type="dxa"/>
          </w:tcPr>
          <w:p w14:paraId="43833B34" w14:textId="77777777" w:rsidR="00E36E6D" w:rsidRPr="00AC6DE0" w:rsidRDefault="00E36E6D" w:rsidP="00F81766">
            <w:pPr>
              <w:rPr>
                <w:rFonts w:eastAsia="Times New Roman"/>
                <w:bCs/>
                <w:kern w:val="36"/>
                <w:sz w:val="18"/>
                <w:szCs w:val="18"/>
              </w:rPr>
            </w:pPr>
            <w:r w:rsidRPr="00AC6DE0">
              <w:rPr>
                <w:rFonts w:eastAsia="Times New Roman"/>
                <w:bCs/>
                <w:kern w:val="36"/>
                <w:sz w:val="18"/>
                <w:szCs w:val="18"/>
              </w:rPr>
              <w:t>147.0</w:t>
            </w:r>
          </w:p>
        </w:tc>
        <w:tc>
          <w:tcPr>
            <w:tcW w:w="990" w:type="dxa"/>
          </w:tcPr>
          <w:p w14:paraId="1C8317A1" w14:textId="3941AA12" w:rsidR="00E36E6D" w:rsidRPr="00AC6DE0" w:rsidRDefault="00E36E6D" w:rsidP="00AC6DE0">
            <w:pPr>
              <w:rPr>
                <w:rFonts w:eastAsia="Times New Roman"/>
                <w:bCs/>
                <w:kern w:val="36"/>
                <w:sz w:val="18"/>
                <w:szCs w:val="18"/>
              </w:rPr>
            </w:pPr>
            <w:r w:rsidRPr="00AC6DE0">
              <w:rPr>
                <w:rFonts w:eastAsia="Times New Roman"/>
                <w:bCs/>
                <w:kern w:val="36"/>
                <w:sz w:val="18"/>
                <w:szCs w:val="18"/>
              </w:rPr>
              <w:t>--</w:t>
            </w:r>
          </w:p>
        </w:tc>
        <w:tc>
          <w:tcPr>
            <w:tcW w:w="1080" w:type="dxa"/>
          </w:tcPr>
          <w:p w14:paraId="6C2E37E1" w14:textId="77777777" w:rsidR="00E36E6D" w:rsidRPr="00AC6DE0" w:rsidRDefault="00E36E6D" w:rsidP="00F81766">
            <w:pPr>
              <w:rPr>
                <w:rFonts w:eastAsia="Times New Roman"/>
                <w:bCs/>
                <w:kern w:val="36"/>
                <w:sz w:val="18"/>
                <w:szCs w:val="18"/>
              </w:rPr>
            </w:pPr>
            <w:r w:rsidRPr="00AC6DE0">
              <w:rPr>
                <w:rFonts w:eastAsia="Times New Roman"/>
                <w:bCs/>
                <w:kern w:val="36"/>
                <w:sz w:val="18"/>
                <w:szCs w:val="18"/>
              </w:rPr>
              <w:t>147.0, 100</w:t>
            </w:r>
          </w:p>
        </w:tc>
        <w:tc>
          <w:tcPr>
            <w:tcW w:w="1170" w:type="dxa"/>
            <w:vAlign w:val="center"/>
          </w:tcPr>
          <w:p w14:paraId="564DDA96" w14:textId="67F15562" w:rsidR="00E36E6D" w:rsidRPr="00AC6DE0" w:rsidRDefault="00E36E6D" w:rsidP="002D1F79">
            <w:pPr>
              <w:jc w:val="center"/>
              <w:rPr>
                <w:rFonts w:eastAsia="Times New Roman"/>
                <w:bCs/>
                <w:kern w:val="36"/>
                <w:sz w:val="18"/>
                <w:szCs w:val="18"/>
              </w:rPr>
            </w:pPr>
            <w:r>
              <w:rPr>
                <w:rFonts w:eastAsia="Times New Roman"/>
                <w:bCs/>
                <w:kern w:val="36"/>
                <w:sz w:val="18"/>
                <w:szCs w:val="18"/>
              </w:rPr>
              <w:t>2</w:t>
            </w:r>
          </w:p>
        </w:tc>
      </w:tr>
    </w:tbl>
    <w:p w14:paraId="7EC800DE" w14:textId="5EC565AF" w:rsidR="001B17EF" w:rsidRDefault="001B17EF" w:rsidP="001B17EF">
      <w:pPr>
        <w:rPr>
          <w:rFonts w:eastAsia="Times New Roman"/>
          <w:bCs/>
          <w:kern w:val="36"/>
          <w:sz w:val="24"/>
          <w:szCs w:val="24"/>
        </w:rPr>
      </w:pPr>
      <w:r w:rsidRPr="00217902">
        <w:rPr>
          <w:rFonts w:eastAsia="Times New Roman"/>
          <w:bCs/>
          <w:kern w:val="36"/>
          <w:sz w:val="24"/>
          <w:szCs w:val="24"/>
        </w:rPr>
        <w:t>*Fragmentation pattern from literature also supports this identification</w:t>
      </w:r>
      <w:r>
        <w:rPr>
          <w:rFonts w:eastAsia="Times New Roman"/>
          <w:bCs/>
          <w:kern w:val="36"/>
          <w:sz w:val="24"/>
          <w:szCs w:val="24"/>
        </w:rPr>
        <w:t xml:space="preserve"> </w:t>
      </w:r>
      <w:r w:rsidR="00B02141">
        <w:rPr>
          <w:rFonts w:eastAsia="Times New Roman"/>
          <w:bCs/>
          <w:kern w:val="36"/>
          <w:sz w:val="24"/>
          <w:szCs w:val="24"/>
        </w:rPr>
        <w:fldChar w:fldCharType="begin" w:fldLock="1"/>
      </w:r>
      <w:r w:rsidR="00EB142B">
        <w:rPr>
          <w:rFonts w:eastAsia="Times New Roman"/>
          <w:bCs/>
          <w:kern w:val="36"/>
          <w:sz w:val="24"/>
          <w:szCs w:val="24"/>
        </w:rPr>
        <w:instrText>ADDIN CSL_CITATION { "citationItems" : [ { "id" : "ITEM-1", "itemData" : { "author" : [ { "dropping-particle" : "", "family" : "O'Toole", "given" : "George A.", "non-dropping-particle" : "", "parse-names" : false, "suffix" : "" }, { "dropping-particle" : "", "family" : "Trzebiatowski", "given" : "Jodi R.", "non-dropping-particle" : "", "parse-names" : false, "suffix" : "" }, { "dropping-particle" : "", "family" : "Escalante-Semerena", "given" : "Jorge C.", "non-dropping-particle" : "", "parse-names" : false, "suffix" : "" } ], "container-title" : "The Journal of Biological Chemistry", "id" : "ITEM-1", "issue" : "42", "issued" : { "date-parts" : [ [ "1994" ] ] }, "page" : "26503-26511", "title" : "The cobC gene of &lt;i&gt;Salmonella typhimurium&lt;/i&gt; Codes for a novel phosphatase involved in the assembly of the nucleotide loop of cobalamin", "type" : "article-journal", "volume" : "269" }, "uris" : [ "http://www.mendeley.com/documents/?uuid=b13cc921-cfe2-4101-b34d-9fb86cd570e5" ] } ], "mendeley" : { "formattedCitation" : "(O\u2019Toole &lt;i&gt;et al.&lt;/i&gt;, 1994)", "plainTextFormattedCitation" : "(O\u2019Toole et al., 1994)", "previouslyFormattedCitation" : "(O\u2019Toole &lt;i&gt;et al.&lt;/i&gt;, 1994)" }, "properties" : { "noteIndex" : 0 }, "schema" : "https://github.com/citation-style-language/schema/raw/master/csl-citation.json" }</w:instrText>
      </w:r>
      <w:r w:rsidR="00B02141">
        <w:rPr>
          <w:rFonts w:eastAsia="Times New Roman"/>
          <w:bCs/>
          <w:kern w:val="36"/>
          <w:sz w:val="24"/>
          <w:szCs w:val="24"/>
        </w:rPr>
        <w:fldChar w:fldCharType="separate"/>
      </w:r>
      <w:r w:rsidR="00B02141" w:rsidRPr="00B02141">
        <w:rPr>
          <w:rFonts w:eastAsia="Times New Roman"/>
          <w:bCs/>
          <w:noProof/>
          <w:kern w:val="36"/>
          <w:sz w:val="24"/>
          <w:szCs w:val="24"/>
        </w:rPr>
        <w:t xml:space="preserve">(O’Toole </w:t>
      </w:r>
      <w:r w:rsidR="00B02141" w:rsidRPr="00B02141">
        <w:rPr>
          <w:rFonts w:eastAsia="Times New Roman"/>
          <w:bCs/>
          <w:i/>
          <w:noProof/>
          <w:kern w:val="36"/>
          <w:sz w:val="24"/>
          <w:szCs w:val="24"/>
        </w:rPr>
        <w:t>et al.</w:t>
      </w:r>
      <w:r w:rsidR="00B02141" w:rsidRPr="00B02141">
        <w:rPr>
          <w:rFonts w:eastAsia="Times New Roman"/>
          <w:bCs/>
          <w:noProof/>
          <w:kern w:val="36"/>
          <w:sz w:val="24"/>
          <w:szCs w:val="24"/>
        </w:rPr>
        <w:t>, 1994)</w:t>
      </w:r>
      <w:r w:rsidR="00B02141">
        <w:rPr>
          <w:rFonts w:eastAsia="Times New Roman"/>
          <w:bCs/>
          <w:kern w:val="36"/>
          <w:sz w:val="24"/>
          <w:szCs w:val="24"/>
        </w:rPr>
        <w:fldChar w:fldCharType="end"/>
      </w:r>
      <w:r>
        <w:rPr>
          <w:rFonts w:eastAsia="Times New Roman"/>
          <w:bCs/>
          <w:kern w:val="36"/>
          <w:sz w:val="24"/>
          <w:szCs w:val="24"/>
        </w:rPr>
        <w:t>.</w:t>
      </w:r>
    </w:p>
    <w:p w14:paraId="2B33EE84" w14:textId="77777777" w:rsidR="00FE48A1" w:rsidRDefault="00FE48A1">
      <w:pPr>
        <w:rPr>
          <w:rFonts w:eastAsia="Times New Roman"/>
          <w:bCs/>
          <w:kern w:val="36"/>
          <w:sz w:val="24"/>
          <w:szCs w:val="24"/>
        </w:rPr>
      </w:pPr>
      <w:r>
        <w:rPr>
          <w:rFonts w:eastAsia="Times New Roman"/>
          <w:bCs/>
          <w:kern w:val="36"/>
          <w:sz w:val="24"/>
          <w:szCs w:val="24"/>
        </w:rPr>
        <w:br w:type="page"/>
      </w:r>
    </w:p>
    <w:p w14:paraId="3A17781E" w14:textId="213CCF6E" w:rsidR="00F81766" w:rsidRDefault="00F81766" w:rsidP="001B17EF">
      <w:pPr>
        <w:rPr>
          <w:rFonts w:eastAsia="Times New Roman"/>
          <w:bCs/>
          <w:kern w:val="36"/>
          <w:sz w:val="24"/>
          <w:szCs w:val="24"/>
        </w:rPr>
      </w:pPr>
      <w:r w:rsidRPr="002B3D87">
        <w:rPr>
          <w:rFonts w:eastAsia="Times New Roman"/>
          <w:b/>
          <w:bCs/>
          <w:kern w:val="36"/>
          <w:sz w:val="24"/>
          <w:szCs w:val="24"/>
        </w:rPr>
        <w:lastRenderedPageBreak/>
        <w:t>Table S</w:t>
      </w:r>
      <w:r w:rsidR="00A870F7">
        <w:rPr>
          <w:rFonts w:eastAsia="Times New Roman"/>
          <w:b/>
          <w:bCs/>
          <w:kern w:val="36"/>
          <w:sz w:val="24"/>
          <w:szCs w:val="24"/>
        </w:rPr>
        <w:t>4</w:t>
      </w:r>
      <w:r w:rsidRPr="002B3D87">
        <w:rPr>
          <w:rFonts w:eastAsia="Times New Roman"/>
          <w:b/>
          <w:bCs/>
          <w:kern w:val="36"/>
          <w:sz w:val="24"/>
          <w:szCs w:val="24"/>
        </w:rPr>
        <w:t>.</w:t>
      </w:r>
      <w:r w:rsidR="00F9106C">
        <w:rPr>
          <w:rFonts w:eastAsia="Times New Roman"/>
          <w:b/>
          <w:bCs/>
          <w:kern w:val="36"/>
          <w:sz w:val="24"/>
          <w:szCs w:val="24"/>
        </w:rPr>
        <w:t xml:space="preserve"> Initial intermediates produced by DMSP </w:t>
      </w:r>
      <w:r w:rsidRPr="002B3D87">
        <w:rPr>
          <w:rFonts w:eastAsia="Times New Roman"/>
          <w:b/>
          <w:bCs/>
          <w:kern w:val="36"/>
          <w:sz w:val="24"/>
          <w:szCs w:val="24"/>
        </w:rPr>
        <w:t>degradation.</w:t>
      </w:r>
      <w:r w:rsidR="001F45CE">
        <w:rPr>
          <w:rFonts w:eastAsia="Times New Roman"/>
          <w:b/>
          <w:bCs/>
          <w:kern w:val="36"/>
          <w:sz w:val="24"/>
          <w:szCs w:val="24"/>
        </w:rPr>
        <w:t xml:space="preserve"> </w:t>
      </w:r>
      <w:r w:rsidR="001F45CE" w:rsidRPr="001F45CE">
        <w:rPr>
          <w:rFonts w:eastAsia="Times New Roman"/>
          <w:bCs/>
          <w:kern w:val="36"/>
          <w:sz w:val="24"/>
          <w:szCs w:val="24"/>
        </w:rPr>
        <w:t>There are two pathways for DMSP degradation: demethylation</w:t>
      </w:r>
      <w:r w:rsidR="00D82B82">
        <w:rPr>
          <w:rFonts w:eastAsia="Times New Roman"/>
          <w:bCs/>
          <w:kern w:val="36"/>
          <w:sz w:val="24"/>
          <w:szCs w:val="24"/>
        </w:rPr>
        <w:t>/demethiolation</w:t>
      </w:r>
      <w:r w:rsidR="001F45CE" w:rsidRPr="001F45CE">
        <w:rPr>
          <w:rFonts w:eastAsia="Times New Roman"/>
          <w:bCs/>
          <w:kern w:val="36"/>
          <w:sz w:val="24"/>
          <w:szCs w:val="24"/>
        </w:rPr>
        <w:t xml:space="preserve"> and cleavage</w:t>
      </w:r>
      <w:r w:rsidR="00602931">
        <w:rPr>
          <w:rFonts w:eastAsia="Times New Roman"/>
          <w:bCs/>
          <w:kern w:val="36"/>
          <w:sz w:val="24"/>
          <w:szCs w:val="24"/>
        </w:rPr>
        <w:t xml:space="preserve"> </w:t>
      </w:r>
      <w:r w:rsidR="002647E0" w:rsidRPr="00602931">
        <w:rPr>
          <w:rFonts w:eastAsia="Times New Roman"/>
          <w:bCs/>
          <w:kern w:val="36"/>
          <w:sz w:val="24"/>
          <w:szCs w:val="24"/>
        </w:rPr>
        <w:fldChar w:fldCharType="begin" w:fldLock="1"/>
      </w:r>
      <w:r w:rsidR="00EB142B">
        <w:rPr>
          <w:rFonts w:eastAsia="Times New Roman"/>
          <w:bCs/>
          <w:kern w:val="36"/>
          <w:sz w:val="24"/>
          <w:szCs w:val="24"/>
        </w:rPr>
        <w:instrText>ADDIN CSL_CITATION { "citationItems" : [ { "id" : "ITEM-1", "itemData" : { "DOI" : "10.3389/fmicb.2011.00172", "ISSN" : "1664-302X", "PMID" : "21886640", "abstract" : "Dimethylsulfoniopropionate (DMSP) is a metabolite produced primarily by marine phytoplankton and is the main precursor to the climatically important gas dimethylsulfide (DMS). DMS is released upon bacterial catabolism of DMSP, but it is not the only possible fate of DMSP sulfur. An alternative demethylation/demethiolation pathway results in the eventual release of methanethiol, a highly reactive volatile sulfur compound that contributes little to the atmospheric sulfur flux. The activity of these pathways control the natural flux of sulfur released to the atmosphere. Although these biochemical pathways and the factors that regulate them are of great interest, they are poorly understood. Only recently have some of the genes and pathways responsible for DMSP catabolism been elucidated. Thus far, six different enzymes have been identified that catalyze the cleavage of DMSP, resulting in the release of DMS. In addition, five of these enzymes appear to produce acrylate, while one produces 3-hydroxypropionate. In contrast, only one enzyme, designated DmdA, has been identified that catalyzes the demethylation reaction producing methylmercaptopropionate (MMPA). The metabolism of MMPA is performed by a series of three coenzyme-A mediated reactions catalyzed by DmdB, DmdC, and DmdD. Interestingly, CandidatusPelagibacter ubique, a member of the SAR11 clade of Alphaproteobacteria that is highly abundant in marine surface waters, possessed functional DmdA, DmdB, and DmdC enzymes. Microbially mediated transformations of both DMS and methanethiol are also possible, although many of the biochemical and molecular genetic details are still unknown. This review will focus on the recent discoveries in the biochemical pathways that mineralize and assimilate DMSP carbon and sulfur, as well as the areas for which a comprehensive understanding is still lacking.", "author" : [ { "dropping-particle" : "", "family" : "Reisch", "given" : "Chris R", "non-dropping-particle" : "", "parse-names" : false, "suffix" : "" }, { "dropping-particle" : "", "family" : "Moran", "given" : "Mary Ann", "non-dropping-particle" : "", "parse-names" : false, "suffix" : "" }, { "dropping-particle" : "", "family" : "Whitman", "given" : "William B", "non-dropping-particle" : "", "parse-names" : false, "suffix" : "" } ], "container-title" : "Frontiers in Microbiology", "id" : "ITEM-1", "issue" : "August", "issued" : { "date-parts" : [ [ "2011", "1" ] ] }, "page" : "172-184", "title" : "Bacterial catabolism of dimethylsulfoniopropionate (DMSP)", "type" : "article-journal", "volume" : "2" }, "uris" : [ "http://www.mendeley.com/documents/?uuid=2166daba-7ca4-4a87-bc89-00a032e95725" ] }, { "id" : "ITEM-2", "itemData" : { "DOI" : "10.1111/mmi.12314", "ISSN" : "1365-2958", "PMID" : "23815737", "abstract" : "Ruegeria pomeroyi DSS-3 possesses two general pathways for metabolism of dimethylsulphoniopropionate (DMSP), an osmolyte of algae and abundant carbon source for marine bacteria. In the DMSP cleavage pathway, acrylate is transformed into acryloyl-CoA by propionate-CoA ligase (SPO2934) and other unidentified acyl-CoA ligases. Acryloyl-CoA is then reduced to propionyl-CoA by AcuI or SPO1914. Acryloyl-CoA is also rapidly hydrated to 3-hydroxypropionyl-CoA by acryloyl-CoA hydratase (SPO0147). A SPO1914 mutant was unable to grow on acrylate as the sole carbon source, supporting its role in this pathway. Similarly, growth on methylmercaptopropionate, the first intermediate of the DMSP demethylation pathway, was severely inhibited by a mutation in the gene encoding crotonyl-CoA carboxylase/reductase, demonstrating that acetate produced by this pathway was metabolized by the ethylmalonyl-CoA pathway. Amino acids and nucleosides from cells grown on (13) C-enriched DMSP possessed labelling patterns that were consistent with carbon from DMSP being metabolized by both the ethylmalonyl-CoA and acrylate pathways as well as a role for pyruvate dehydrogenase. This latter conclusion was supported by the phenotype of a pdh mutant, which grew poorly on electron-rich substrates. Additionally, label from [(13) C-methyl] DMSP only appeared in carbons derived from methyl-tetrahydrofolate, and there was no evidence for a serine cycle of C-1 assimilation.", "author" : [ { "dropping-particle" : "", "family" : "Reisch", "given" : "Chris R", "non-dropping-particle" : "", "parse-names" : false, "suffix" : "" }, { "dropping-particle" : "", "family" : "Crabb", "given" : "Warren M", "non-dropping-particle" : "", "parse-names" : false, "suffix" : "" }, { "dropping-particle" : "", "family" : "Gifford", "given" : "Scott M", "non-dropping-particle" : "", "parse-names" : false, "suffix" : "" }, { "dropping-particle" : "", "family" : "Teng", "given" : "Quincy", "non-dropping-particle" : "", "parse-names" : false, "suffix" : "" }, { "dropping-particle" : "", "family" : "Stoudemayer", "given" : "Melissa J", "non-dropping-particle" : "", "parse-names" : false, "suffix" : "" }, { "dropping-particle" : "", "family" : "Moran", "given" : "Mary Ann", "non-dropping-particle" : "", "parse-names" : false, "suffix" : "" }, { "dropping-particle" : "", "family" : "Whitman", "given" : "William B", "non-dropping-particle" : "", "parse-names" : false, "suffix" : "" } ], "container-title" : "Molecular microbiology", "id" : "ITEM-2", "issue" : "4", "issued" : { "date-parts" : [ [ "2013", "8" ] ] }, "page" : "774-791", "title" : "Metabolism of dimethylsulphoniopropionate by &lt;i&gt;Ruegeria pomeroyi&lt;/i&gt; DSS-3", "type" : "article-journal", "volume" : "89" }, "uris" : [ "http://www.mendeley.com/documents/?uuid=4bc44f27-72e4-4aa8-a720-b91644a2f279" ] } ], "mendeley" : { "formattedCitation" : "(Reisch &lt;i&gt;et al.&lt;/i&gt;, 2011, 2013)", "plainTextFormattedCitation" : "(Reisch et al., 2011, 2013)", "previouslyFormattedCitation" : "(Reisch &lt;i&gt;et al.&lt;/i&gt;, 2011, 2013)" }, "properties" : { "noteIndex" : 0 }, "schema" : "https://github.com/citation-style-language/schema/raw/master/csl-citation.json" }</w:instrText>
      </w:r>
      <w:r w:rsidR="002647E0" w:rsidRPr="00602931">
        <w:rPr>
          <w:rFonts w:eastAsia="Times New Roman"/>
          <w:bCs/>
          <w:kern w:val="36"/>
          <w:sz w:val="24"/>
          <w:szCs w:val="24"/>
        </w:rPr>
        <w:fldChar w:fldCharType="separate"/>
      </w:r>
      <w:r w:rsidR="004F4642" w:rsidRPr="004F4642">
        <w:rPr>
          <w:rFonts w:eastAsia="Times New Roman"/>
          <w:bCs/>
          <w:noProof/>
          <w:kern w:val="36"/>
          <w:sz w:val="24"/>
          <w:szCs w:val="24"/>
        </w:rPr>
        <w:t xml:space="preserve">(Reisch </w:t>
      </w:r>
      <w:r w:rsidR="004F4642" w:rsidRPr="004F4642">
        <w:rPr>
          <w:rFonts w:eastAsia="Times New Roman"/>
          <w:bCs/>
          <w:i/>
          <w:noProof/>
          <w:kern w:val="36"/>
          <w:sz w:val="24"/>
          <w:szCs w:val="24"/>
        </w:rPr>
        <w:t>et al.</w:t>
      </w:r>
      <w:r w:rsidR="004F4642" w:rsidRPr="004F4642">
        <w:rPr>
          <w:rFonts w:eastAsia="Times New Roman"/>
          <w:bCs/>
          <w:noProof/>
          <w:kern w:val="36"/>
          <w:sz w:val="24"/>
          <w:szCs w:val="24"/>
        </w:rPr>
        <w:t>, 2011, 2013)</w:t>
      </w:r>
      <w:r w:rsidR="002647E0" w:rsidRPr="00602931">
        <w:rPr>
          <w:rFonts w:eastAsia="Times New Roman"/>
          <w:bCs/>
          <w:kern w:val="36"/>
          <w:sz w:val="24"/>
          <w:szCs w:val="24"/>
        </w:rPr>
        <w:fldChar w:fldCharType="end"/>
      </w:r>
      <w:r w:rsidR="001F45CE" w:rsidRPr="00602931">
        <w:rPr>
          <w:rFonts w:eastAsia="Times New Roman"/>
          <w:bCs/>
          <w:kern w:val="36"/>
          <w:sz w:val="24"/>
          <w:szCs w:val="24"/>
        </w:rPr>
        <w:t>.</w:t>
      </w:r>
      <w:r w:rsidR="009B2B43">
        <w:rPr>
          <w:rFonts w:eastAsia="Times New Roman"/>
          <w:bCs/>
          <w:kern w:val="36"/>
          <w:sz w:val="24"/>
          <w:szCs w:val="24"/>
        </w:rPr>
        <w:t xml:space="preserve"> R. pomeroyi has been demonstrated to utilize both pathways </w:t>
      </w:r>
      <w:r w:rsidR="004F2EE0">
        <w:rPr>
          <w:rFonts w:eastAsia="Times New Roman"/>
          <w:bCs/>
          <w:kern w:val="36"/>
          <w:sz w:val="24"/>
          <w:szCs w:val="24"/>
        </w:rPr>
        <w:fldChar w:fldCharType="begin" w:fldLock="1"/>
      </w:r>
      <w:r w:rsidR="003D016B">
        <w:rPr>
          <w:rFonts w:eastAsia="Times New Roman"/>
          <w:bCs/>
          <w:kern w:val="36"/>
          <w:sz w:val="24"/>
          <w:szCs w:val="24"/>
        </w:rPr>
        <w:instrText>ADDIN CSL_CITATION { "citationItems" : [ { "id" : "ITEM-1", "itemData" : { "PMID" : "13130004", "abstract" : "Three Gram-negative, rod-shaped, aerobic bacteria that were capable of degrading dimethylsulfoniopropionate (DMSP) were isolated from marine waters. These isolates (DSS-3(T), DSS-10 and ISM(T)) exhibited the ability to demethylate and cleave DMSP, as well as to degrade other sulfur compounds related to DMSP that are cycled in marine environments. Intracellular poly-beta-hydroxybutyrate inclusions, surface blebs and one polar, complex flagellum that rotated exclusively in the clockwise direction were observed for DSS-3(T). The outer membrane of ISM(T) was separated from the cytoplasm at the poles in a toga-like morphology. The primary fatty acid in both strains was C(18 : 1)omega7c. DNA G+C contents for the isolates were 68.0+/-0.1, 68.1+/-0.1 and 66.0+/-0.2 mol% for DSS-3(T), DSS-10 and ISM(T), respectively. 16S rRNA gene sequence analyses placed these organisms within the Roseobacter lineage of the alpha-PROTEOBACTERIA: Closely related species were Silicibacter lacuscaerulensis and Ruegeria atlantica (DSS-3(T) and DSS-10) and Roseovarius tolerans (ISM(T)). Neither DSS-3(T) nor ISM(T) exhibited 16S rRNA similarity &gt;97 % or DNA-DNA hybridization values &gt;45 % to their nearest described relatives. Genotypic and phenotypic analyses support the creation of two novel species: Silicibacter pomeroyi sp. nov. with strain DSS-3(T) (=ATCC 700808(T)=DSM 15171(T)) as the type strain, and Roseovarius nubinhibens sp. nov. with strain ISM(T) (=ATCC BAA-591(T)=DSM 15170(T)) as the type strain.", "author" : [ { "dropping-particle" : "", "family" : "Gonz\u00e1lez", "given" : "Jos\u00e9 M", "non-dropping-particle" : "", "parse-names" : false, "suffix" : "" }, { "dropping-particle" : "", "family" : "Covert", "given" : "Joseph S", "non-dropping-particle" : "", "parse-names" : false, "suffix" : "" }, { "dropping-particle" : "", "family" : "Whitman", "given" : "William B", "non-dropping-particle" : "", "parse-names" : false, "suffix" : "" }, { "dropping-particle" : "", "family" : "Henriksen", "given" : "James R", "non-dropping-particle" : "", "parse-names" : false, "suffix" : "" }, { "dropping-particle" : "", "family" : "Mayer", "given" : "Frank", "non-dropping-particle" : "", "parse-names" : false, "suffix" : "" }, { "dropping-particle" : "", "family" : "Scharf", "given" : "Birgit", "non-dropping-particle" : "", "parse-names" : false, "suffix" : "" }, { "dropping-particle" : "", "family" : "Schmitt", "given" : "R\u00fcdiger", "non-dropping-particle" : "", "parse-names" : false, "suffix" : "" }, { "dropping-particle" : "", "family" : "Buchan", "given" : "Alison", "non-dropping-particle" : "", "parse-names" : false, "suffix" : "" }, { "dropping-particle" : "", "family" : "Fuhrman", "given" : "Jed A", "non-dropping-particle" : "", "parse-names" : false, "suffix" : "" }, { "dropping-particle" : "", "family" : "Kiene", "given" : "Ronald P", "non-dropping-particle" : "", "parse-names" : false, "suffix" : "" }, { "dropping-particle" : "", "family" : "Moran", "given" : "Mary Ann", "non-dropping-particle" : "", "parse-names" : false, "suffix" : "" } ], "container-title" : "International Journal of Systematic and Evolutionary Microbiology", "id" : "ITEM-1", "issued" : { "date-parts" : [ [ "2003" ] ] }, "page" : "1261-1269", "title" : "&lt;i&gt;Silicibacter pomeroyi&lt;/i&gt; sp. nov. and &lt;i&gt;Roseovarius nubinhibens&lt;/i&gt; sp. nov., dimethylsulfoniopropionate-demethylating bacteria from marine environments", "type" : "article-journal", "volume" : "53" }, "uris" : [ "http://www.mendeley.com/documents/?uuid=1ed07ba2-d5df-4f72-91ef-62531997097b" ] } ], "mendeley" : { "formattedCitation" : "(Gonz\u00e1lez &lt;i&gt;et al.&lt;/i&gt;, 2003)", "plainTextFormattedCitation" : "(Gonz\u00e1lez et al., 2003)", "previouslyFormattedCitation" : "(Gonz\u00e1lez &lt;i&gt;et al.&lt;/i&gt;, 2003)" }, "properties" : { "noteIndex" : 0 }, "schema" : "https://github.com/citation-style-language/schema/raw/master/csl-citation.json" }</w:instrText>
      </w:r>
      <w:r w:rsidR="004F2EE0">
        <w:rPr>
          <w:rFonts w:eastAsia="Times New Roman"/>
          <w:bCs/>
          <w:kern w:val="36"/>
          <w:sz w:val="24"/>
          <w:szCs w:val="24"/>
        </w:rPr>
        <w:fldChar w:fldCharType="separate"/>
      </w:r>
      <w:r w:rsidR="004F2EE0" w:rsidRPr="004F2EE0">
        <w:rPr>
          <w:rFonts w:eastAsia="Times New Roman"/>
          <w:bCs/>
          <w:noProof/>
          <w:kern w:val="36"/>
          <w:sz w:val="24"/>
          <w:szCs w:val="24"/>
        </w:rPr>
        <w:t xml:space="preserve">(González </w:t>
      </w:r>
      <w:r w:rsidR="004F2EE0" w:rsidRPr="004F2EE0">
        <w:rPr>
          <w:rFonts w:eastAsia="Times New Roman"/>
          <w:bCs/>
          <w:i/>
          <w:noProof/>
          <w:kern w:val="36"/>
          <w:sz w:val="24"/>
          <w:szCs w:val="24"/>
        </w:rPr>
        <w:t>et al.</w:t>
      </w:r>
      <w:r w:rsidR="004F2EE0" w:rsidRPr="004F2EE0">
        <w:rPr>
          <w:rFonts w:eastAsia="Times New Roman"/>
          <w:bCs/>
          <w:noProof/>
          <w:kern w:val="36"/>
          <w:sz w:val="24"/>
          <w:szCs w:val="24"/>
        </w:rPr>
        <w:t>, 2003)</w:t>
      </w:r>
      <w:r w:rsidR="004F2EE0">
        <w:rPr>
          <w:rFonts w:eastAsia="Times New Roman"/>
          <w:bCs/>
          <w:kern w:val="36"/>
          <w:sz w:val="24"/>
          <w:szCs w:val="24"/>
        </w:rPr>
        <w:fldChar w:fldCharType="end"/>
      </w:r>
      <w:r w:rsidR="009B2B43">
        <w:rPr>
          <w:rFonts w:eastAsia="Times New Roman"/>
          <w:bCs/>
          <w:kern w:val="36"/>
          <w:sz w:val="24"/>
          <w:szCs w:val="24"/>
        </w:rPr>
        <w:t xml:space="preserve">. </w:t>
      </w:r>
      <w:r w:rsidR="00D82B82">
        <w:rPr>
          <w:rFonts w:eastAsia="Times New Roman"/>
          <w:bCs/>
          <w:kern w:val="36"/>
          <w:sz w:val="24"/>
          <w:szCs w:val="24"/>
        </w:rPr>
        <w:t xml:space="preserve">The demethylation/demethiolation pathway produces methanethiol which </w:t>
      </w:r>
      <w:r w:rsidR="001F269D">
        <w:rPr>
          <w:rFonts w:eastAsia="Times New Roman"/>
          <w:bCs/>
          <w:kern w:val="36"/>
          <w:sz w:val="24"/>
          <w:szCs w:val="24"/>
        </w:rPr>
        <w:t>can be lost as a gas or incorporated into biomass. The cleavage pathway cleaves dimethylsulfide first before utilizing the remainder of the molecule. Both pathways ultimately lead to central carbon metabolism.</w:t>
      </w:r>
      <w:r w:rsidR="00D82B82">
        <w:rPr>
          <w:rFonts w:eastAsia="Times New Roman"/>
          <w:bCs/>
          <w:kern w:val="36"/>
          <w:sz w:val="24"/>
          <w:szCs w:val="24"/>
        </w:rPr>
        <w:t xml:space="preserve"> </w:t>
      </w:r>
      <w:r w:rsidR="001F45CE" w:rsidRPr="001F45CE">
        <w:rPr>
          <w:rFonts w:eastAsia="Times New Roman"/>
          <w:bCs/>
          <w:kern w:val="36"/>
          <w:sz w:val="24"/>
          <w:szCs w:val="24"/>
        </w:rPr>
        <w:t>The table summarizes the intermediates detected in each pathway.</w:t>
      </w:r>
      <w:r>
        <w:rPr>
          <w:rFonts w:eastAsia="Times New Roman"/>
          <w:bCs/>
          <w:kern w:val="36"/>
          <w:sz w:val="24"/>
          <w:szCs w:val="24"/>
        </w:rPr>
        <w:t xml:space="preserve"> </w:t>
      </w:r>
      <w:r w:rsidR="00CE1D1A">
        <w:rPr>
          <w:rFonts w:eastAsia="Times New Roman"/>
          <w:bCs/>
          <w:kern w:val="36"/>
          <w:sz w:val="24"/>
          <w:szCs w:val="24"/>
        </w:rPr>
        <w:t>“Detected?”</w:t>
      </w:r>
      <w:r w:rsidR="002B3D87">
        <w:rPr>
          <w:rFonts w:eastAsia="Times New Roman"/>
          <w:bCs/>
          <w:kern w:val="36"/>
          <w:sz w:val="24"/>
          <w:szCs w:val="24"/>
        </w:rPr>
        <w:t xml:space="preserve"> column indicates whether the metabolite was </w:t>
      </w:r>
      <w:r w:rsidR="009061FB">
        <w:rPr>
          <w:rFonts w:eastAsia="Times New Roman"/>
          <w:bCs/>
          <w:kern w:val="36"/>
          <w:sz w:val="24"/>
          <w:szCs w:val="24"/>
        </w:rPr>
        <w:t xml:space="preserve">detected </w:t>
      </w:r>
      <w:r w:rsidR="00F9106C">
        <w:rPr>
          <w:rFonts w:eastAsia="Times New Roman"/>
          <w:bCs/>
          <w:kern w:val="36"/>
          <w:sz w:val="24"/>
          <w:szCs w:val="24"/>
        </w:rPr>
        <w:t>in any of our methods.</w:t>
      </w:r>
    </w:p>
    <w:p w14:paraId="66138B11" w14:textId="77777777" w:rsidR="009061FB" w:rsidRDefault="009061FB" w:rsidP="001B17EF">
      <w:pPr>
        <w:rPr>
          <w:rFonts w:eastAsia="Times New Roman"/>
          <w:bCs/>
          <w:kern w:val="36"/>
          <w:sz w:val="24"/>
          <w:szCs w:val="24"/>
        </w:rPr>
      </w:pPr>
    </w:p>
    <w:tbl>
      <w:tblPr>
        <w:tblStyle w:val="TableGrid"/>
        <w:tblW w:w="7913" w:type="dxa"/>
        <w:jc w:val="center"/>
        <w:tblInd w:w="-955" w:type="dxa"/>
        <w:tblLook w:val="04A0" w:firstRow="1" w:lastRow="0" w:firstColumn="1" w:lastColumn="0" w:noHBand="0" w:noVBand="1"/>
      </w:tblPr>
      <w:tblGrid>
        <w:gridCol w:w="2751"/>
        <w:gridCol w:w="1786"/>
        <w:gridCol w:w="1847"/>
        <w:gridCol w:w="1529"/>
      </w:tblGrid>
      <w:tr w:rsidR="00821095" w:rsidRPr="009061FB" w14:paraId="0E1F63CA" w14:textId="77777777" w:rsidTr="000C5748">
        <w:trPr>
          <w:jc w:val="center"/>
        </w:trPr>
        <w:tc>
          <w:tcPr>
            <w:tcW w:w="4537" w:type="dxa"/>
            <w:gridSpan w:val="2"/>
            <w:tcBorders>
              <w:left w:val="nil"/>
              <w:bottom w:val="single" w:sz="4" w:space="0" w:color="auto"/>
              <w:right w:val="single" w:sz="24" w:space="0" w:color="auto"/>
            </w:tcBorders>
          </w:tcPr>
          <w:p w14:paraId="3167E56D" w14:textId="446ACAEF" w:rsidR="00821095" w:rsidRPr="00AC6DE0" w:rsidRDefault="00821095" w:rsidP="00F81766">
            <w:pPr>
              <w:jc w:val="center"/>
            </w:pPr>
            <w:r w:rsidRPr="00AC6DE0">
              <w:t>DMSP (Demethylation</w:t>
            </w:r>
            <w:r w:rsidR="00D82B82">
              <w:t>/Demethiolation</w:t>
            </w:r>
            <w:r w:rsidRPr="00AC6DE0">
              <w:t>)</w:t>
            </w:r>
          </w:p>
          <w:p w14:paraId="79D947DB" w14:textId="77777777" w:rsidR="00821095" w:rsidRPr="00AC6DE0" w:rsidRDefault="00821095" w:rsidP="00F81766">
            <w:pPr>
              <w:jc w:val="center"/>
            </w:pPr>
            <w:r w:rsidRPr="00AC6DE0">
              <w:rPr>
                <w:noProof/>
              </w:rPr>
              <w:drawing>
                <wp:inline distT="0" distB="0" distL="0" distR="0" wp14:anchorId="2531501A" wp14:editId="6FDAC970">
                  <wp:extent cx="914400" cy="51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16835"/>
                          </a:xfrm>
                          <a:prstGeom prst="rect">
                            <a:avLst/>
                          </a:prstGeom>
                          <a:noFill/>
                          <a:ln>
                            <a:noFill/>
                          </a:ln>
                        </pic:spPr>
                      </pic:pic>
                    </a:graphicData>
                  </a:graphic>
                </wp:inline>
              </w:drawing>
            </w:r>
          </w:p>
        </w:tc>
        <w:tc>
          <w:tcPr>
            <w:tcW w:w="3376" w:type="dxa"/>
            <w:gridSpan w:val="2"/>
            <w:tcBorders>
              <w:top w:val="single" w:sz="6" w:space="0" w:color="auto"/>
              <w:left w:val="single" w:sz="24" w:space="0" w:color="auto"/>
              <w:bottom w:val="single" w:sz="6" w:space="0" w:color="auto"/>
              <w:right w:val="nil"/>
            </w:tcBorders>
          </w:tcPr>
          <w:p w14:paraId="1FA6A4C8" w14:textId="77777777" w:rsidR="00821095" w:rsidRPr="00AC6DE0" w:rsidRDefault="00821095" w:rsidP="00F81766">
            <w:pPr>
              <w:jc w:val="center"/>
            </w:pPr>
            <w:r w:rsidRPr="00AC6DE0">
              <w:t>DMSP (Cleavage)</w:t>
            </w:r>
          </w:p>
          <w:p w14:paraId="570C48D3" w14:textId="77777777" w:rsidR="00821095" w:rsidRPr="00AC6DE0" w:rsidRDefault="00821095" w:rsidP="00F81766">
            <w:pPr>
              <w:jc w:val="center"/>
            </w:pPr>
            <w:r w:rsidRPr="00AC6DE0">
              <w:rPr>
                <w:noProof/>
              </w:rPr>
              <w:drawing>
                <wp:inline distT="0" distB="0" distL="0" distR="0" wp14:anchorId="376EBF48" wp14:editId="2EACEEB8">
                  <wp:extent cx="914400" cy="51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16835"/>
                          </a:xfrm>
                          <a:prstGeom prst="rect">
                            <a:avLst/>
                          </a:prstGeom>
                          <a:noFill/>
                          <a:ln>
                            <a:noFill/>
                          </a:ln>
                        </pic:spPr>
                      </pic:pic>
                    </a:graphicData>
                  </a:graphic>
                </wp:inline>
              </w:drawing>
            </w:r>
          </w:p>
        </w:tc>
      </w:tr>
      <w:tr w:rsidR="00CE1D1A" w:rsidRPr="009061FB" w14:paraId="5A4A83C5" w14:textId="77777777" w:rsidTr="000C5748">
        <w:trPr>
          <w:jc w:val="center"/>
        </w:trPr>
        <w:tc>
          <w:tcPr>
            <w:tcW w:w="2751" w:type="dxa"/>
            <w:tcBorders>
              <w:left w:val="nil"/>
              <w:bottom w:val="single" w:sz="4" w:space="0" w:color="auto"/>
              <w:right w:val="nil"/>
            </w:tcBorders>
          </w:tcPr>
          <w:p w14:paraId="6543EF42" w14:textId="77777777" w:rsidR="00821095" w:rsidRPr="00AC6DE0" w:rsidRDefault="00821095" w:rsidP="00F81766">
            <w:pPr>
              <w:jc w:val="center"/>
            </w:pPr>
            <w:r w:rsidRPr="00AC6DE0">
              <w:t>Intermediate</w:t>
            </w:r>
          </w:p>
        </w:tc>
        <w:tc>
          <w:tcPr>
            <w:tcW w:w="1786" w:type="dxa"/>
            <w:tcBorders>
              <w:left w:val="nil"/>
              <w:bottom w:val="single" w:sz="4" w:space="0" w:color="auto"/>
              <w:right w:val="single" w:sz="24" w:space="0" w:color="auto"/>
            </w:tcBorders>
          </w:tcPr>
          <w:p w14:paraId="7A3E9DA0" w14:textId="69B8D241" w:rsidR="00821095" w:rsidRPr="00AC6DE0" w:rsidRDefault="00CE1D1A" w:rsidP="00F81766">
            <w:pPr>
              <w:jc w:val="center"/>
            </w:pPr>
            <w:r w:rsidRPr="00AC6DE0">
              <w:t>Detected?</w:t>
            </w:r>
          </w:p>
        </w:tc>
        <w:tc>
          <w:tcPr>
            <w:tcW w:w="1847" w:type="dxa"/>
            <w:tcBorders>
              <w:top w:val="single" w:sz="6" w:space="0" w:color="auto"/>
              <w:left w:val="single" w:sz="24" w:space="0" w:color="auto"/>
              <w:bottom w:val="single" w:sz="6" w:space="0" w:color="auto"/>
              <w:right w:val="nil"/>
            </w:tcBorders>
          </w:tcPr>
          <w:p w14:paraId="4F31FD7B" w14:textId="77777777" w:rsidR="00821095" w:rsidRPr="00AC6DE0" w:rsidRDefault="00821095" w:rsidP="00F81766">
            <w:pPr>
              <w:jc w:val="center"/>
            </w:pPr>
            <w:r w:rsidRPr="00AC6DE0">
              <w:t>Intermediate</w:t>
            </w:r>
          </w:p>
        </w:tc>
        <w:tc>
          <w:tcPr>
            <w:tcW w:w="1529" w:type="dxa"/>
            <w:tcBorders>
              <w:top w:val="single" w:sz="6" w:space="0" w:color="auto"/>
              <w:left w:val="nil"/>
              <w:bottom w:val="single" w:sz="6" w:space="0" w:color="auto"/>
              <w:right w:val="nil"/>
            </w:tcBorders>
          </w:tcPr>
          <w:p w14:paraId="4BD64959" w14:textId="7266F65B" w:rsidR="00821095" w:rsidRPr="00AC6DE0" w:rsidRDefault="00CE1D1A" w:rsidP="00F81766">
            <w:pPr>
              <w:jc w:val="center"/>
            </w:pPr>
            <w:r w:rsidRPr="00AC6DE0">
              <w:t>Detected?</w:t>
            </w:r>
          </w:p>
        </w:tc>
      </w:tr>
      <w:tr w:rsidR="00CE1D1A" w:rsidRPr="009061FB" w14:paraId="0DCF10D6" w14:textId="77777777" w:rsidTr="000C5748">
        <w:trPr>
          <w:jc w:val="center"/>
        </w:trPr>
        <w:tc>
          <w:tcPr>
            <w:tcW w:w="2751" w:type="dxa"/>
            <w:tcBorders>
              <w:left w:val="nil"/>
              <w:right w:val="nil"/>
            </w:tcBorders>
          </w:tcPr>
          <w:p w14:paraId="77AE0E4E" w14:textId="646DAA31" w:rsidR="00821095" w:rsidRPr="00AC6DE0" w:rsidRDefault="00F9106C" w:rsidP="00F81766">
            <w:r w:rsidRPr="00AC6DE0">
              <w:t>3-(methylthio)propionate</w:t>
            </w:r>
          </w:p>
          <w:p w14:paraId="6B67BC32" w14:textId="77777777" w:rsidR="00821095" w:rsidRPr="00AC6DE0" w:rsidRDefault="00821095" w:rsidP="00F81766">
            <w:pPr>
              <w:spacing w:before="100" w:beforeAutospacing="1" w:after="100" w:afterAutospacing="1"/>
            </w:pPr>
          </w:p>
        </w:tc>
        <w:tc>
          <w:tcPr>
            <w:tcW w:w="1786" w:type="dxa"/>
            <w:tcBorders>
              <w:left w:val="nil"/>
              <w:right w:val="single" w:sz="24" w:space="0" w:color="auto"/>
            </w:tcBorders>
          </w:tcPr>
          <w:p w14:paraId="05ABBFBB" w14:textId="77777777" w:rsidR="00821095" w:rsidRPr="00AC6DE0" w:rsidRDefault="00821095" w:rsidP="00F81766">
            <w:r w:rsidRPr="00AC6DE0">
              <w:t>Yes (no MS2)</w:t>
            </w:r>
          </w:p>
        </w:tc>
        <w:tc>
          <w:tcPr>
            <w:tcW w:w="1847" w:type="dxa"/>
            <w:tcBorders>
              <w:top w:val="single" w:sz="6" w:space="0" w:color="auto"/>
              <w:left w:val="single" w:sz="24" w:space="0" w:color="auto"/>
              <w:bottom w:val="single" w:sz="6" w:space="0" w:color="auto"/>
              <w:right w:val="nil"/>
            </w:tcBorders>
          </w:tcPr>
          <w:p w14:paraId="28E71C43" w14:textId="77777777" w:rsidR="00821095" w:rsidRPr="00AC6DE0" w:rsidRDefault="00821095" w:rsidP="00F81766">
            <w:r w:rsidRPr="00AC6DE0">
              <w:t>acrylate</w:t>
            </w:r>
          </w:p>
        </w:tc>
        <w:tc>
          <w:tcPr>
            <w:tcW w:w="1529" w:type="dxa"/>
            <w:tcBorders>
              <w:top w:val="single" w:sz="6" w:space="0" w:color="auto"/>
              <w:left w:val="nil"/>
              <w:bottom w:val="single" w:sz="6" w:space="0" w:color="auto"/>
              <w:right w:val="nil"/>
            </w:tcBorders>
          </w:tcPr>
          <w:p w14:paraId="4533FA13" w14:textId="77777777" w:rsidR="00821095" w:rsidRPr="00AC6DE0" w:rsidRDefault="00821095" w:rsidP="00F81766">
            <w:r w:rsidRPr="00AC6DE0">
              <w:t>No (too small)</w:t>
            </w:r>
          </w:p>
        </w:tc>
      </w:tr>
      <w:tr w:rsidR="00CE1D1A" w:rsidRPr="009061FB" w14:paraId="6C855474" w14:textId="77777777" w:rsidTr="000C5748">
        <w:trPr>
          <w:jc w:val="center"/>
        </w:trPr>
        <w:tc>
          <w:tcPr>
            <w:tcW w:w="2751" w:type="dxa"/>
            <w:tcBorders>
              <w:left w:val="nil"/>
              <w:right w:val="nil"/>
            </w:tcBorders>
          </w:tcPr>
          <w:p w14:paraId="5BC59824" w14:textId="77777777" w:rsidR="00821095" w:rsidRPr="00AC6DE0" w:rsidRDefault="00821095" w:rsidP="00F81766">
            <w:r w:rsidRPr="00AC6DE0">
              <w:t>5-methyl-THF</w:t>
            </w:r>
          </w:p>
        </w:tc>
        <w:tc>
          <w:tcPr>
            <w:tcW w:w="1786" w:type="dxa"/>
            <w:tcBorders>
              <w:left w:val="nil"/>
              <w:right w:val="single" w:sz="24" w:space="0" w:color="auto"/>
            </w:tcBorders>
          </w:tcPr>
          <w:p w14:paraId="466A7D79" w14:textId="77777777" w:rsidR="00821095" w:rsidRPr="00AC6DE0" w:rsidRDefault="00821095" w:rsidP="00F81766">
            <w:r w:rsidRPr="00AC6DE0">
              <w:t>No</w:t>
            </w:r>
          </w:p>
        </w:tc>
        <w:tc>
          <w:tcPr>
            <w:tcW w:w="1847" w:type="dxa"/>
            <w:tcBorders>
              <w:top w:val="single" w:sz="6" w:space="0" w:color="auto"/>
              <w:left w:val="single" w:sz="24" w:space="0" w:color="auto"/>
              <w:bottom w:val="single" w:sz="6" w:space="0" w:color="auto"/>
              <w:right w:val="nil"/>
            </w:tcBorders>
          </w:tcPr>
          <w:p w14:paraId="7E5C6BC3" w14:textId="55631583" w:rsidR="00821095" w:rsidRPr="00AC6DE0" w:rsidRDefault="00821095" w:rsidP="00F81766">
            <w:r w:rsidRPr="00AC6DE0">
              <w:t>Dimethylsulfide (DMS)</w:t>
            </w:r>
          </w:p>
        </w:tc>
        <w:tc>
          <w:tcPr>
            <w:tcW w:w="1529" w:type="dxa"/>
            <w:tcBorders>
              <w:top w:val="single" w:sz="6" w:space="0" w:color="auto"/>
              <w:left w:val="nil"/>
              <w:bottom w:val="single" w:sz="6" w:space="0" w:color="auto"/>
              <w:right w:val="nil"/>
            </w:tcBorders>
          </w:tcPr>
          <w:p w14:paraId="3A9F0BC1" w14:textId="77777777" w:rsidR="00821095" w:rsidRPr="00AC6DE0" w:rsidRDefault="00821095" w:rsidP="00F81766">
            <w:r w:rsidRPr="00AC6DE0">
              <w:t>Yes</w:t>
            </w:r>
          </w:p>
        </w:tc>
      </w:tr>
      <w:tr w:rsidR="00CE1D1A" w:rsidRPr="009061FB" w14:paraId="787E1223" w14:textId="77777777" w:rsidTr="000C5748">
        <w:trPr>
          <w:jc w:val="center"/>
        </w:trPr>
        <w:tc>
          <w:tcPr>
            <w:tcW w:w="2751" w:type="dxa"/>
            <w:tcBorders>
              <w:left w:val="nil"/>
              <w:right w:val="nil"/>
            </w:tcBorders>
          </w:tcPr>
          <w:p w14:paraId="5205CB5E" w14:textId="77777777" w:rsidR="00821095" w:rsidRPr="00AC6DE0" w:rsidRDefault="00821095" w:rsidP="00F81766">
            <w:r w:rsidRPr="00AC6DE0">
              <w:t>MMPA-CoA</w:t>
            </w:r>
          </w:p>
        </w:tc>
        <w:tc>
          <w:tcPr>
            <w:tcW w:w="1786" w:type="dxa"/>
            <w:tcBorders>
              <w:left w:val="nil"/>
              <w:right w:val="single" w:sz="24" w:space="0" w:color="auto"/>
            </w:tcBorders>
          </w:tcPr>
          <w:p w14:paraId="4357BE46" w14:textId="77777777" w:rsidR="00821095" w:rsidRPr="00AC6DE0" w:rsidRDefault="00821095" w:rsidP="00F81766">
            <w:r w:rsidRPr="00AC6DE0">
              <w:t>No</w:t>
            </w:r>
          </w:p>
        </w:tc>
        <w:tc>
          <w:tcPr>
            <w:tcW w:w="1847" w:type="dxa"/>
            <w:tcBorders>
              <w:top w:val="single" w:sz="6" w:space="0" w:color="auto"/>
              <w:left w:val="single" w:sz="24" w:space="0" w:color="auto"/>
              <w:bottom w:val="single" w:sz="6" w:space="0" w:color="auto"/>
              <w:right w:val="nil"/>
            </w:tcBorders>
          </w:tcPr>
          <w:p w14:paraId="182B5734" w14:textId="77777777" w:rsidR="00821095" w:rsidRPr="00AC6DE0" w:rsidRDefault="00821095" w:rsidP="00F81766">
            <w:r w:rsidRPr="00AC6DE0">
              <w:t>acryloyl-CoA</w:t>
            </w:r>
          </w:p>
        </w:tc>
        <w:tc>
          <w:tcPr>
            <w:tcW w:w="1529" w:type="dxa"/>
            <w:tcBorders>
              <w:top w:val="single" w:sz="6" w:space="0" w:color="auto"/>
              <w:left w:val="nil"/>
              <w:bottom w:val="single" w:sz="6" w:space="0" w:color="auto"/>
              <w:right w:val="nil"/>
            </w:tcBorders>
          </w:tcPr>
          <w:p w14:paraId="51BD1C36" w14:textId="77777777" w:rsidR="00821095" w:rsidRPr="00AC6DE0" w:rsidRDefault="00821095" w:rsidP="00F81766">
            <w:r w:rsidRPr="00AC6DE0">
              <w:t>No</w:t>
            </w:r>
          </w:p>
        </w:tc>
      </w:tr>
      <w:tr w:rsidR="00CE1D1A" w:rsidRPr="009061FB" w14:paraId="3E1C6588" w14:textId="77777777" w:rsidTr="000C5748">
        <w:trPr>
          <w:jc w:val="center"/>
        </w:trPr>
        <w:tc>
          <w:tcPr>
            <w:tcW w:w="2751" w:type="dxa"/>
            <w:tcBorders>
              <w:left w:val="nil"/>
              <w:right w:val="nil"/>
            </w:tcBorders>
          </w:tcPr>
          <w:p w14:paraId="178ACE77" w14:textId="77777777" w:rsidR="00821095" w:rsidRPr="00AC6DE0" w:rsidRDefault="00821095" w:rsidP="00F81766">
            <w:r w:rsidRPr="00AC6DE0">
              <w:t>MTA-CoA</w:t>
            </w:r>
          </w:p>
        </w:tc>
        <w:tc>
          <w:tcPr>
            <w:tcW w:w="1786" w:type="dxa"/>
            <w:tcBorders>
              <w:left w:val="nil"/>
              <w:right w:val="single" w:sz="24" w:space="0" w:color="auto"/>
            </w:tcBorders>
          </w:tcPr>
          <w:p w14:paraId="431F678C" w14:textId="77777777" w:rsidR="00821095" w:rsidRPr="00AC6DE0" w:rsidRDefault="00821095" w:rsidP="00F81766">
            <w:r w:rsidRPr="00AC6DE0">
              <w:t>No</w:t>
            </w:r>
          </w:p>
        </w:tc>
        <w:tc>
          <w:tcPr>
            <w:tcW w:w="1847" w:type="dxa"/>
            <w:tcBorders>
              <w:top w:val="single" w:sz="6" w:space="0" w:color="auto"/>
              <w:left w:val="single" w:sz="24" w:space="0" w:color="auto"/>
              <w:bottom w:val="single" w:sz="6" w:space="0" w:color="auto"/>
              <w:right w:val="nil"/>
            </w:tcBorders>
          </w:tcPr>
          <w:p w14:paraId="26D4482B" w14:textId="31598BF0" w:rsidR="00821095" w:rsidRPr="00AC6DE0" w:rsidRDefault="00821095" w:rsidP="00F81766">
            <w:pPr>
              <w:spacing w:before="100" w:beforeAutospacing="1" w:after="100" w:afterAutospacing="1"/>
            </w:pPr>
          </w:p>
        </w:tc>
        <w:tc>
          <w:tcPr>
            <w:tcW w:w="1529" w:type="dxa"/>
            <w:tcBorders>
              <w:top w:val="single" w:sz="6" w:space="0" w:color="auto"/>
              <w:left w:val="nil"/>
              <w:bottom w:val="single" w:sz="6" w:space="0" w:color="auto"/>
              <w:right w:val="nil"/>
            </w:tcBorders>
          </w:tcPr>
          <w:p w14:paraId="38E15916" w14:textId="37651207" w:rsidR="00821095" w:rsidRPr="00AC6DE0" w:rsidRDefault="00821095" w:rsidP="00F81766">
            <w:pPr>
              <w:spacing w:before="100" w:beforeAutospacing="1" w:after="100" w:afterAutospacing="1"/>
            </w:pPr>
          </w:p>
        </w:tc>
      </w:tr>
      <w:tr w:rsidR="00CE1D1A" w:rsidRPr="009061FB" w14:paraId="456107D7" w14:textId="77777777" w:rsidTr="000C5748">
        <w:trPr>
          <w:jc w:val="center"/>
        </w:trPr>
        <w:tc>
          <w:tcPr>
            <w:tcW w:w="2751" w:type="dxa"/>
            <w:tcBorders>
              <w:left w:val="nil"/>
              <w:right w:val="nil"/>
            </w:tcBorders>
          </w:tcPr>
          <w:p w14:paraId="626FEA25" w14:textId="77777777" w:rsidR="00821095" w:rsidRPr="00AC6DE0" w:rsidRDefault="00821095" w:rsidP="00F81766">
            <w:r w:rsidRPr="00AC6DE0">
              <w:t>acetaldehyde</w:t>
            </w:r>
          </w:p>
        </w:tc>
        <w:tc>
          <w:tcPr>
            <w:tcW w:w="1786" w:type="dxa"/>
            <w:tcBorders>
              <w:left w:val="nil"/>
              <w:right w:val="single" w:sz="24" w:space="0" w:color="auto"/>
            </w:tcBorders>
          </w:tcPr>
          <w:p w14:paraId="7A76822D" w14:textId="5212FF3D" w:rsidR="00821095" w:rsidRPr="00AC6DE0" w:rsidRDefault="00821095" w:rsidP="00567F7B">
            <w:r w:rsidRPr="00AC6DE0">
              <w:t>No</w:t>
            </w:r>
            <w:r w:rsidR="00567F7B">
              <w:t xml:space="preserve"> *</w:t>
            </w:r>
          </w:p>
        </w:tc>
        <w:tc>
          <w:tcPr>
            <w:tcW w:w="1847" w:type="dxa"/>
            <w:tcBorders>
              <w:top w:val="single" w:sz="6" w:space="0" w:color="auto"/>
              <w:left w:val="single" w:sz="24" w:space="0" w:color="auto"/>
              <w:bottom w:val="single" w:sz="6" w:space="0" w:color="auto"/>
              <w:right w:val="nil"/>
            </w:tcBorders>
          </w:tcPr>
          <w:p w14:paraId="2F6CF867" w14:textId="4D814696" w:rsidR="00821095" w:rsidRPr="00AC6DE0" w:rsidRDefault="00821095" w:rsidP="00F81766">
            <w:pPr>
              <w:spacing w:before="100" w:beforeAutospacing="1" w:after="100" w:afterAutospacing="1"/>
            </w:pPr>
          </w:p>
        </w:tc>
        <w:tc>
          <w:tcPr>
            <w:tcW w:w="1529" w:type="dxa"/>
            <w:tcBorders>
              <w:top w:val="single" w:sz="6" w:space="0" w:color="auto"/>
              <w:left w:val="nil"/>
              <w:bottom w:val="single" w:sz="6" w:space="0" w:color="auto"/>
              <w:right w:val="nil"/>
            </w:tcBorders>
          </w:tcPr>
          <w:p w14:paraId="02824B3B" w14:textId="0E270BF3" w:rsidR="00821095" w:rsidRPr="00AC6DE0" w:rsidRDefault="00821095" w:rsidP="00F81766">
            <w:pPr>
              <w:spacing w:before="100" w:beforeAutospacing="1" w:after="100" w:afterAutospacing="1"/>
            </w:pPr>
          </w:p>
        </w:tc>
      </w:tr>
      <w:tr w:rsidR="00CE1D1A" w:rsidRPr="009061FB" w14:paraId="2D706AF2" w14:textId="77777777" w:rsidTr="000C5748">
        <w:trPr>
          <w:jc w:val="center"/>
        </w:trPr>
        <w:tc>
          <w:tcPr>
            <w:tcW w:w="2751" w:type="dxa"/>
            <w:tcBorders>
              <w:left w:val="nil"/>
              <w:right w:val="nil"/>
            </w:tcBorders>
          </w:tcPr>
          <w:p w14:paraId="3676AD48" w14:textId="55FEF714" w:rsidR="00821095" w:rsidRPr="00AC6DE0" w:rsidRDefault="00821095" w:rsidP="00F81766">
            <w:r w:rsidRPr="00AC6DE0">
              <w:t>Methanethiol (MeSH)</w:t>
            </w:r>
          </w:p>
        </w:tc>
        <w:tc>
          <w:tcPr>
            <w:tcW w:w="1786" w:type="dxa"/>
            <w:tcBorders>
              <w:left w:val="nil"/>
              <w:right w:val="single" w:sz="24" w:space="0" w:color="auto"/>
            </w:tcBorders>
          </w:tcPr>
          <w:p w14:paraId="01E26566" w14:textId="77777777" w:rsidR="00821095" w:rsidRPr="00AC6DE0" w:rsidRDefault="00821095" w:rsidP="00F81766">
            <w:r w:rsidRPr="00AC6DE0">
              <w:t>Yes</w:t>
            </w:r>
          </w:p>
        </w:tc>
        <w:tc>
          <w:tcPr>
            <w:tcW w:w="1847" w:type="dxa"/>
            <w:tcBorders>
              <w:top w:val="single" w:sz="6" w:space="0" w:color="auto"/>
              <w:left w:val="single" w:sz="24" w:space="0" w:color="auto"/>
              <w:bottom w:val="single" w:sz="6" w:space="0" w:color="auto"/>
              <w:right w:val="nil"/>
            </w:tcBorders>
          </w:tcPr>
          <w:p w14:paraId="65589D0B" w14:textId="16165CDD" w:rsidR="00821095" w:rsidRPr="00AC6DE0" w:rsidRDefault="00821095" w:rsidP="00F81766">
            <w:pPr>
              <w:spacing w:before="100" w:beforeAutospacing="1" w:after="100" w:afterAutospacing="1"/>
            </w:pPr>
          </w:p>
        </w:tc>
        <w:tc>
          <w:tcPr>
            <w:tcW w:w="1529" w:type="dxa"/>
            <w:tcBorders>
              <w:top w:val="single" w:sz="6" w:space="0" w:color="auto"/>
              <w:left w:val="nil"/>
              <w:bottom w:val="single" w:sz="6" w:space="0" w:color="auto"/>
              <w:right w:val="nil"/>
            </w:tcBorders>
          </w:tcPr>
          <w:p w14:paraId="138DA889" w14:textId="42594617" w:rsidR="00821095" w:rsidRPr="00AC6DE0" w:rsidRDefault="00821095" w:rsidP="00F81766">
            <w:pPr>
              <w:spacing w:before="100" w:beforeAutospacing="1" w:after="100" w:afterAutospacing="1"/>
            </w:pPr>
          </w:p>
        </w:tc>
      </w:tr>
    </w:tbl>
    <w:p w14:paraId="4A677270" w14:textId="7D9E0D3C" w:rsidR="00567F7B" w:rsidRPr="00FB5144" w:rsidRDefault="00D22DAC" w:rsidP="00567F7B">
      <w:pPr>
        <w:rPr>
          <w:rFonts w:eastAsia="Times New Roman"/>
          <w:sz w:val="24"/>
          <w:szCs w:val="24"/>
        </w:rPr>
      </w:pPr>
      <w:r w:rsidRPr="00567F7B">
        <w:rPr>
          <w:sz w:val="24"/>
          <w:szCs w:val="24"/>
        </w:rPr>
        <w:t>*I</w:t>
      </w:r>
      <w:r w:rsidR="00567F7B" w:rsidRPr="00FB5144">
        <w:rPr>
          <w:rFonts w:eastAsia="Times New Roman"/>
          <w:color w:val="222222"/>
          <w:sz w:val="24"/>
          <w:szCs w:val="24"/>
          <w:shd w:val="clear" w:color="auto" w:fill="FFFFFF"/>
        </w:rPr>
        <w:t xml:space="preserve"> Acetaldehyde will not ionize under our ESI conditions and it is too small to be detected by the FT-ICR MS with our parameters.</w:t>
      </w:r>
    </w:p>
    <w:p w14:paraId="693C41C2" w14:textId="07D3260D" w:rsidR="001B17EF" w:rsidRDefault="001B17EF" w:rsidP="001B17EF">
      <w:pPr>
        <w:rPr>
          <w:sz w:val="24"/>
          <w:szCs w:val="24"/>
        </w:rPr>
      </w:pPr>
    </w:p>
    <w:p w14:paraId="103A36EF" w14:textId="77777777" w:rsidR="00E638F8" w:rsidRDefault="00E638F8">
      <w:pPr>
        <w:rPr>
          <w:rFonts w:eastAsia="Times New Roman"/>
          <w:b/>
          <w:bCs/>
          <w:kern w:val="36"/>
          <w:sz w:val="24"/>
          <w:szCs w:val="24"/>
        </w:rPr>
      </w:pPr>
      <w:r>
        <w:rPr>
          <w:rFonts w:eastAsia="Times New Roman"/>
          <w:b/>
          <w:bCs/>
          <w:kern w:val="36"/>
          <w:sz w:val="24"/>
          <w:szCs w:val="24"/>
        </w:rPr>
        <w:br w:type="page"/>
      </w:r>
    </w:p>
    <w:p w14:paraId="6A8DAAFB" w14:textId="2ECD055A" w:rsidR="006F2DCF" w:rsidRPr="006F2DCF" w:rsidRDefault="006F2DCF" w:rsidP="001B17EF">
      <w:pPr>
        <w:rPr>
          <w:b/>
          <w:noProof/>
          <w:sz w:val="24"/>
          <w:szCs w:val="24"/>
        </w:rPr>
      </w:pPr>
      <w:r w:rsidRPr="0052313C">
        <w:rPr>
          <w:b/>
          <w:noProof/>
          <w:sz w:val="24"/>
          <w:szCs w:val="24"/>
        </w:rPr>
        <w:lastRenderedPageBreak/>
        <w:t>SI Figure Captions:</w:t>
      </w:r>
    </w:p>
    <w:p w14:paraId="3ED71844" w14:textId="77777777" w:rsidR="006F2DCF" w:rsidRDefault="006F2DCF" w:rsidP="001B17EF">
      <w:pPr>
        <w:rPr>
          <w:rFonts w:eastAsia="Times New Roman"/>
          <w:b/>
          <w:bCs/>
          <w:kern w:val="36"/>
          <w:sz w:val="24"/>
          <w:szCs w:val="24"/>
        </w:rPr>
      </w:pPr>
    </w:p>
    <w:p w14:paraId="5F8A6700" w14:textId="07064F2F" w:rsidR="00527570" w:rsidRPr="00D92126" w:rsidRDefault="001B17EF" w:rsidP="00527570">
      <w:pPr>
        <w:rPr>
          <w:sz w:val="24"/>
          <w:szCs w:val="24"/>
        </w:rPr>
      </w:pPr>
      <w:r>
        <w:rPr>
          <w:rFonts w:eastAsia="Times New Roman"/>
          <w:b/>
          <w:bCs/>
          <w:kern w:val="36"/>
          <w:sz w:val="24"/>
          <w:szCs w:val="24"/>
        </w:rPr>
        <w:t xml:space="preserve">Fig. S1. </w:t>
      </w:r>
      <w:r w:rsidRPr="008E6416">
        <w:rPr>
          <w:rFonts w:eastAsia="Times New Roman"/>
          <w:b/>
          <w:bCs/>
          <w:i/>
          <w:kern w:val="36"/>
          <w:sz w:val="24"/>
          <w:szCs w:val="24"/>
        </w:rPr>
        <w:t>R. pomeroyi</w:t>
      </w:r>
      <w:r w:rsidRPr="005C6541">
        <w:rPr>
          <w:rFonts w:eastAsia="Times New Roman"/>
          <w:b/>
          <w:bCs/>
          <w:kern w:val="36"/>
          <w:sz w:val="24"/>
          <w:szCs w:val="24"/>
        </w:rPr>
        <w:t xml:space="preserve"> growth</w:t>
      </w:r>
      <w:r w:rsidR="006A799F">
        <w:rPr>
          <w:rFonts w:eastAsia="Times New Roman"/>
          <w:b/>
          <w:bCs/>
          <w:kern w:val="36"/>
          <w:sz w:val="24"/>
          <w:szCs w:val="24"/>
        </w:rPr>
        <w:t xml:space="preserve">, </w:t>
      </w:r>
      <w:r w:rsidRPr="005C6541">
        <w:rPr>
          <w:rFonts w:eastAsia="Times New Roman"/>
          <w:b/>
          <w:bCs/>
          <w:kern w:val="36"/>
          <w:sz w:val="24"/>
          <w:szCs w:val="24"/>
        </w:rPr>
        <w:t>carbon remineralization</w:t>
      </w:r>
      <w:r w:rsidR="006A799F">
        <w:rPr>
          <w:rFonts w:eastAsia="Times New Roman"/>
          <w:b/>
          <w:bCs/>
          <w:kern w:val="36"/>
          <w:sz w:val="24"/>
          <w:szCs w:val="24"/>
        </w:rPr>
        <w:t>, and organosulfur gas production</w:t>
      </w:r>
      <w:r w:rsidRPr="005C6541">
        <w:rPr>
          <w:rFonts w:eastAsia="Times New Roman"/>
          <w:b/>
          <w:bCs/>
          <w:kern w:val="36"/>
          <w:sz w:val="24"/>
          <w:szCs w:val="24"/>
        </w:rPr>
        <w:t>. a,</w:t>
      </w:r>
      <w:r>
        <w:rPr>
          <w:rFonts w:eastAsia="Times New Roman"/>
          <w:bCs/>
          <w:kern w:val="36"/>
          <w:sz w:val="24"/>
          <w:szCs w:val="24"/>
        </w:rPr>
        <w:t xml:space="preserve"> </w:t>
      </w:r>
      <w:r w:rsidRPr="001B4427">
        <w:rPr>
          <w:sz w:val="24"/>
          <w:szCs w:val="24"/>
        </w:rPr>
        <w:t xml:space="preserve">Average growth curves of </w:t>
      </w:r>
      <w:r w:rsidRPr="001B4427">
        <w:rPr>
          <w:i/>
          <w:sz w:val="24"/>
          <w:szCs w:val="24"/>
        </w:rPr>
        <w:t>R. pomeroyi</w:t>
      </w:r>
      <w:r w:rsidRPr="001B4427">
        <w:rPr>
          <w:sz w:val="24"/>
          <w:szCs w:val="24"/>
        </w:rPr>
        <w:t xml:space="preserve"> growing on DMSP (red) and propionate (blue). The black diamonds indicate the time points where sampling occurred. The error bars are the standard deviation for the two biological replicates.</w:t>
      </w:r>
      <w:r w:rsidR="005A74B8">
        <w:rPr>
          <w:sz w:val="24"/>
          <w:szCs w:val="24"/>
        </w:rPr>
        <w:t xml:space="preserve"> It is unclear why there is an offset in cell density between the two treatments but is perhaps due to different metabolic efficiencies for catabolism of the two carbon substrates.</w:t>
      </w:r>
      <w:r>
        <w:rPr>
          <w:sz w:val="24"/>
          <w:szCs w:val="24"/>
        </w:rPr>
        <w:t xml:space="preserve"> </w:t>
      </w:r>
      <w:r w:rsidRPr="00BF7A15">
        <w:rPr>
          <w:b/>
          <w:sz w:val="24"/>
          <w:szCs w:val="24"/>
        </w:rPr>
        <w:t>b,</w:t>
      </w:r>
      <w:r>
        <w:rPr>
          <w:sz w:val="24"/>
          <w:szCs w:val="24"/>
        </w:rPr>
        <w:t xml:space="preserve"> </w:t>
      </w:r>
      <w:r w:rsidRPr="001B4427">
        <w:rPr>
          <w:sz w:val="24"/>
          <w:szCs w:val="24"/>
        </w:rPr>
        <w:t>Total organic carbon (TOC</w:t>
      </w:r>
      <w:r w:rsidR="00FA5695">
        <w:rPr>
          <w:sz w:val="24"/>
          <w:szCs w:val="24"/>
        </w:rPr>
        <w:t>; dark red, DMSP treatment and dark blue, propionate treatment</w:t>
      </w:r>
      <w:r w:rsidRPr="001B4427">
        <w:rPr>
          <w:sz w:val="24"/>
          <w:szCs w:val="24"/>
        </w:rPr>
        <w:t>) and dissolved organic carbon (DOC</w:t>
      </w:r>
      <w:r w:rsidR="00FA5695">
        <w:rPr>
          <w:sz w:val="24"/>
          <w:szCs w:val="24"/>
        </w:rPr>
        <w:t>; orange, DMSP treatment and light blue, propionate treatment</w:t>
      </w:r>
      <w:r w:rsidRPr="001B4427">
        <w:rPr>
          <w:sz w:val="24"/>
          <w:szCs w:val="24"/>
        </w:rPr>
        <w:t xml:space="preserve">) concentrations. </w:t>
      </w:r>
      <w:r w:rsidR="00FA5695">
        <w:rPr>
          <w:sz w:val="24"/>
          <w:szCs w:val="24"/>
        </w:rPr>
        <w:t xml:space="preserve">Cell-free media controls are in faded colors (red-orange, DMSP and blue propionate) and show no decline in organic carbon during the experiment. </w:t>
      </w:r>
      <w:r w:rsidRPr="001B4427">
        <w:rPr>
          <w:sz w:val="24"/>
          <w:szCs w:val="24"/>
        </w:rPr>
        <w:t>Error bars represent one standard deviation for the biological replicates.</w:t>
      </w:r>
      <w:r w:rsidR="002B1398">
        <w:rPr>
          <w:sz w:val="24"/>
          <w:szCs w:val="24"/>
        </w:rPr>
        <w:t xml:space="preserve"> The target concentration for both carbon substrates was 3 mM</w:t>
      </w:r>
      <w:r w:rsidR="00FA014C">
        <w:rPr>
          <w:sz w:val="24"/>
          <w:szCs w:val="24"/>
        </w:rPr>
        <w:t xml:space="preserve"> </w:t>
      </w:r>
      <w:r w:rsidR="00FA014C">
        <w:rPr>
          <w:sz w:val="24"/>
          <w:szCs w:val="24"/>
        </w:rPr>
        <w:t>but some loss of the substrates may have occurred with filter sterilization</w:t>
      </w:r>
      <w:bookmarkStart w:id="0" w:name="_GoBack"/>
      <w:bookmarkEnd w:id="0"/>
      <w:r w:rsidR="002B1398">
        <w:rPr>
          <w:sz w:val="24"/>
          <w:szCs w:val="24"/>
        </w:rPr>
        <w:t>.</w:t>
      </w:r>
      <w:r w:rsidR="00CE3202">
        <w:rPr>
          <w:b/>
          <w:sz w:val="24"/>
          <w:szCs w:val="24"/>
        </w:rPr>
        <w:t xml:space="preserve"> c, </w:t>
      </w:r>
      <w:r w:rsidR="00351210" w:rsidRPr="00FB5144">
        <w:rPr>
          <w:sz w:val="24"/>
          <w:szCs w:val="24"/>
        </w:rPr>
        <w:t xml:space="preserve">Abundance of dimethylsulfide (DMS) and methanethiol (MeSH) in the headspace of the </w:t>
      </w:r>
      <w:r w:rsidR="00E72CDB" w:rsidRPr="00FB5144">
        <w:rPr>
          <w:sz w:val="24"/>
          <w:szCs w:val="24"/>
        </w:rPr>
        <w:t>initial</w:t>
      </w:r>
      <w:r w:rsidR="00351210" w:rsidRPr="00FB5144">
        <w:rPr>
          <w:sz w:val="24"/>
          <w:szCs w:val="24"/>
        </w:rPr>
        <w:t xml:space="preserve"> DMSP cultures and </w:t>
      </w:r>
      <w:r w:rsidR="00E72CDB" w:rsidRPr="00FB5144">
        <w:rPr>
          <w:sz w:val="24"/>
          <w:szCs w:val="24"/>
        </w:rPr>
        <w:t xml:space="preserve">after </w:t>
      </w:r>
      <w:r w:rsidR="00E30562" w:rsidRPr="00FB5144">
        <w:rPr>
          <w:sz w:val="24"/>
          <w:szCs w:val="24"/>
        </w:rPr>
        <w:t>72 hours</w:t>
      </w:r>
      <w:r w:rsidR="00351210" w:rsidRPr="00FB5144">
        <w:rPr>
          <w:sz w:val="24"/>
          <w:szCs w:val="24"/>
        </w:rPr>
        <w:t>.</w:t>
      </w:r>
      <w:r w:rsidR="00351210" w:rsidRPr="00E52D88">
        <w:rPr>
          <w:sz w:val="24"/>
          <w:szCs w:val="24"/>
        </w:rPr>
        <w:t xml:space="preserve"> </w:t>
      </w:r>
      <w:r w:rsidR="00D44248">
        <w:rPr>
          <w:sz w:val="24"/>
          <w:szCs w:val="24"/>
        </w:rPr>
        <w:t>The presence of both gases</w:t>
      </w:r>
      <w:r w:rsidR="00D44248" w:rsidRPr="00E52D88">
        <w:rPr>
          <w:sz w:val="24"/>
          <w:szCs w:val="24"/>
        </w:rPr>
        <w:t xml:space="preserve"> </w:t>
      </w:r>
      <w:r w:rsidR="00351210" w:rsidRPr="00E52D88">
        <w:rPr>
          <w:sz w:val="24"/>
          <w:szCs w:val="24"/>
        </w:rPr>
        <w:t xml:space="preserve">confirms that both the demethylation pathway and the lyase pathway </w:t>
      </w:r>
      <w:r w:rsidR="00260EC0">
        <w:rPr>
          <w:sz w:val="24"/>
          <w:szCs w:val="24"/>
        </w:rPr>
        <w:t xml:space="preserve">(see Table S4) </w:t>
      </w:r>
      <w:r w:rsidR="00351210" w:rsidRPr="00E52D88">
        <w:rPr>
          <w:sz w:val="24"/>
          <w:szCs w:val="24"/>
        </w:rPr>
        <w:t xml:space="preserve">were used by </w:t>
      </w:r>
      <w:r w:rsidR="00351210" w:rsidRPr="00E52D88">
        <w:rPr>
          <w:i/>
          <w:sz w:val="24"/>
          <w:szCs w:val="24"/>
        </w:rPr>
        <w:t>R. pomeroyi</w:t>
      </w:r>
      <w:r w:rsidR="00351210" w:rsidRPr="00E52D88">
        <w:rPr>
          <w:sz w:val="24"/>
          <w:szCs w:val="24"/>
        </w:rPr>
        <w:t xml:space="preserve"> </w:t>
      </w:r>
      <w:r w:rsidR="00E72CDB">
        <w:rPr>
          <w:sz w:val="24"/>
          <w:szCs w:val="24"/>
        </w:rPr>
        <w:t>for DMSP</w:t>
      </w:r>
      <w:r w:rsidR="00E72CDB" w:rsidRPr="00E52D88">
        <w:rPr>
          <w:sz w:val="24"/>
          <w:szCs w:val="24"/>
        </w:rPr>
        <w:t xml:space="preserve"> </w:t>
      </w:r>
      <w:r w:rsidR="00351210" w:rsidRPr="00E52D88">
        <w:rPr>
          <w:sz w:val="24"/>
          <w:szCs w:val="24"/>
        </w:rPr>
        <w:t>catabolism.</w:t>
      </w:r>
      <w:r w:rsidR="00BB3A40">
        <w:rPr>
          <w:sz w:val="24"/>
          <w:szCs w:val="24"/>
        </w:rPr>
        <w:t xml:space="preserve"> In </w:t>
      </w:r>
      <w:r w:rsidR="00BB3A40" w:rsidRPr="00FB5144">
        <w:rPr>
          <w:b/>
          <w:sz w:val="24"/>
          <w:szCs w:val="24"/>
        </w:rPr>
        <w:t>S1b</w:t>
      </w:r>
      <w:r w:rsidR="00BB3A40">
        <w:rPr>
          <w:sz w:val="24"/>
          <w:szCs w:val="24"/>
        </w:rPr>
        <w:t xml:space="preserve"> th</w:t>
      </w:r>
      <w:r w:rsidR="00B404A5">
        <w:rPr>
          <w:sz w:val="24"/>
          <w:szCs w:val="24"/>
        </w:rPr>
        <w:t>e DMSP treatment has less organic carbon at the outset than propionate and that difference increases by the final timepoint at 72 hours. Subtracting the initial difference</w:t>
      </w:r>
      <w:r w:rsidR="00D92126">
        <w:rPr>
          <w:sz w:val="24"/>
          <w:szCs w:val="24"/>
        </w:rPr>
        <w:t xml:space="preserve"> still leaves a difference in both TOC and DOC of 0.3 mM at 72 hours. This difference is due to the loss of DMS and MeSH as shown in </w:t>
      </w:r>
      <w:r w:rsidR="00D92126" w:rsidRPr="00FB5144">
        <w:rPr>
          <w:b/>
          <w:sz w:val="24"/>
          <w:szCs w:val="24"/>
        </w:rPr>
        <w:t>S1c</w:t>
      </w:r>
      <w:r w:rsidR="00D92126">
        <w:rPr>
          <w:sz w:val="24"/>
          <w:szCs w:val="24"/>
        </w:rPr>
        <w:t xml:space="preserve"> that only occurs in the DMSP treatment. </w:t>
      </w:r>
      <w:r w:rsidR="008C62A0">
        <w:rPr>
          <w:sz w:val="24"/>
          <w:szCs w:val="24"/>
        </w:rPr>
        <w:t xml:space="preserve">If we calculate the total loss of DOC over the course of the experiment for each substrate, the DMSP treatment lost 1.4 mM carbon and the propionate treatment lost 1.1 mM carbon. </w:t>
      </w:r>
      <w:r w:rsidR="00F651B3">
        <w:rPr>
          <w:sz w:val="24"/>
          <w:szCs w:val="24"/>
        </w:rPr>
        <w:t>However, to compare bacterial utilization, it may be more re</w:t>
      </w:r>
      <w:r w:rsidR="00D62609">
        <w:rPr>
          <w:sz w:val="24"/>
          <w:szCs w:val="24"/>
        </w:rPr>
        <w:t>levant to consider the moles of</w:t>
      </w:r>
      <w:r w:rsidR="00F651B3">
        <w:rPr>
          <w:sz w:val="24"/>
          <w:szCs w:val="24"/>
        </w:rPr>
        <w:t xml:space="preserve"> each molecule </w:t>
      </w:r>
      <w:r w:rsidR="00D62609">
        <w:rPr>
          <w:sz w:val="24"/>
          <w:szCs w:val="24"/>
        </w:rPr>
        <w:t>respired</w:t>
      </w:r>
      <w:r w:rsidR="00F651B3">
        <w:rPr>
          <w:sz w:val="24"/>
          <w:szCs w:val="24"/>
        </w:rPr>
        <w:t xml:space="preserve"> rather than the total carbon</w:t>
      </w:r>
      <w:r w:rsidR="00B546CF">
        <w:rPr>
          <w:sz w:val="24"/>
          <w:szCs w:val="24"/>
        </w:rPr>
        <w:t xml:space="preserve"> because the portion of DMSP that enters primary carbon metabolism is the same 3-carbon unit as propionate</w:t>
      </w:r>
      <w:r w:rsidR="00F651B3">
        <w:rPr>
          <w:sz w:val="24"/>
          <w:szCs w:val="24"/>
        </w:rPr>
        <w:t xml:space="preserve">. </w:t>
      </w:r>
      <w:r w:rsidR="00B546CF">
        <w:rPr>
          <w:sz w:val="24"/>
          <w:szCs w:val="24"/>
        </w:rPr>
        <w:t xml:space="preserve">DMS and MeSH are lost from the medium as gases. </w:t>
      </w:r>
      <w:r w:rsidR="00D62609">
        <w:rPr>
          <w:sz w:val="24"/>
          <w:szCs w:val="24"/>
        </w:rPr>
        <w:t>We can</w:t>
      </w:r>
      <w:r w:rsidR="008C62A0">
        <w:rPr>
          <w:sz w:val="24"/>
          <w:szCs w:val="24"/>
        </w:rPr>
        <w:t xml:space="preserve"> </w:t>
      </w:r>
      <w:r w:rsidR="00D62609">
        <w:rPr>
          <w:sz w:val="24"/>
          <w:szCs w:val="24"/>
        </w:rPr>
        <w:t>approximate this by normalizing</w:t>
      </w:r>
      <w:r w:rsidR="008C62A0">
        <w:rPr>
          <w:sz w:val="24"/>
          <w:szCs w:val="24"/>
        </w:rPr>
        <w:t xml:space="preserve"> to the number of carbon atoms in each molecule (5 </w:t>
      </w:r>
      <w:r w:rsidR="00D62609">
        <w:rPr>
          <w:sz w:val="24"/>
          <w:szCs w:val="24"/>
        </w:rPr>
        <w:t>for DMSP and 3 for propionate). W</w:t>
      </w:r>
      <w:r w:rsidR="008C62A0">
        <w:rPr>
          <w:sz w:val="24"/>
          <w:szCs w:val="24"/>
        </w:rPr>
        <w:t xml:space="preserve">e calculate a loss of 0.3 mM for DMSP and 0.4 mM for propionate. </w:t>
      </w:r>
      <w:r w:rsidR="00D62609">
        <w:rPr>
          <w:sz w:val="24"/>
          <w:szCs w:val="24"/>
        </w:rPr>
        <w:t>Thus</w:t>
      </w:r>
      <w:r w:rsidR="00611D76">
        <w:rPr>
          <w:sz w:val="24"/>
          <w:szCs w:val="24"/>
        </w:rPr>
        <w:t xml:space="preserve"> the draw-down of </w:t>
      </w:r>
      <w:r w:rsidR="004340FF">
        <w:rPr>
          <w:sz w:val="24"/>
          <w:szCs w:val="24"/>
        </w:rPr>
        <w:t>moles of each organic substrate</w:t>
      </w:r>
      <w:r w:rsidR="00611D76">
        <w:rPr>
          <w:sz w:val="24"/>
          <w:szCs w:val="24"/>
        </w:rPr>
        <w:t xml:space="preserve"> is not very different, especially assuming that there would be some difference in efficiency between the pathways.</w:t>
      </w:r>
    </w:p>
    <w:p w14:paraId="14CD4659" w14:textId="77777777" w:rsidR="003901AA" w:rsidRDefault="003901AA" w:rsidP="00527570">
      <w:pPr>
        <w:rPr>
          <w:sz w:val="24"/>
          <w:szCs w:val="24"/>
        </w:rPr>
      </w:pPr>
    </w:p>
    <w:p w14:paraId="6CCA0FAE" w14:textId="5E215CF3" w:rsidR="0027506A" w:rsidRDefault="00527570" w:rsidP="00E57F54">
      <w:pPr>
        <w:rPr>
          <w:sz w:val="24"/>
          <w:szCs w:val="24"/>
        </w:rPr>
      </w:pPr>
      <w:r>
        <w:rPr>
          <w:b/>
          <w:color w:val="000000"/>
          <w:sz w:val="24"/>
          <w:szCs w:val="24"/>
        </w:rPr>
        <w:t xml:space="preserve">Fig. </w:t>
      </w:r>
      <w:r w:rsidR="00CE3202">
        <w:rPr>
          <w:b/>
          <w:color w:val="000000"/>
          <w:sz w:val="24"/>
          <w:szCs w:val="24"/>
        </w:rPr>
        <w:t xml:space="preserve">S2 </w:t>
      </w:r>
      <w:r w:rsidRPr="00BF7A15">
        <w:rPr>
          <w:b/>
          <w:sz w:val="24"/>
          <w:szCs w:val="24"/>
        </w:rPr>
        <w:t>A heatmap of</w:t>
      </w:r>
      <w:r w:rsidR="007505A8">
        <w:rPr>
          <w:b/>
          <w:sz w:val="24"/>
          <w:szCs w:val="24"/>
        </w:rPr>
        <w:t xml:space="preserve"> all the targeted</w:t>
      </w:r>
      <w:r w:rsidRPr="00BF7A15">
        <w:rPr>
          <w:b/>
          <w:sz w:val="24"/>
          <w:szCs w:val="24"/>
        </w:rPr>
        <w:t xml:space="preserve"> intracellular metabolite concentrations in the two treatments.</w:t>
      </w:r>
      <w:r w:rsidRPr="00F7387E">
        <w:rPr>
          <w:sz w:val="24"/>
          <w:szCs w:val="24"/>
        </w:rPr>
        <w:t xml:space="preserve"> Averages of biological replicates are compared at each time point (</w:t>
      </w:r>
      <w:r w:rsidR="003901AA">
        <w:rPr>
          <w:sz w:val="24"/>
          <w:szCs w:val="24"/>
        </w:rPr>
        <w:t>0 hours-72 hours</w:t>
      </w:r>
      <w:r w:rsidRPr="00F7387E">
        <w:rPr>
          <w:sz w:val="24"/>
          <w:szCs w:val="24"/>
        </w:rPr>
        <w:t xml:space="preserve">). (Red): concentrations </w:t>
      </w:r>
      <w:r w:rsidR="007505A8">
        <w:rPr>
          <w:sz w:val="24"/>
          <w:szCs w:val="24"/>
        </w:rPr>
        <w:t>are higher in the</w:t>
      </w:r>
      <w:r w:rsidRPr="00F7387E">
        <w:rPr>
          <w:sz w:val="24"/>
          <w:szCs w:val="24"/>
        </w:rPr>
        <w:t xml:space="preserve"> DMSP treatment</w:t>
      </w:r>
      <w:r w:rsidR="007505A8">
        <w:rPr>
          <w:sz w:val="24"/>
          <w:szCs w:val="24"/>
        </w:rPr>
        <w:t xml:space="preserve"> increasing from dark to light</w:t>
      </w:r>
      <w:r w:rsidRPr="00F7387E">
        <w:rPr>
          <w:sz w:val="24"/>
          <w:szCs w:val="24"/>
        </w:rPr>
        <w:t>; (</w:t>
      </w:r>
      <w:r w:rsidR="00587571">
        <w:rPr>
          <w:sz w:val="24"/>
          <w:szCs w:val="24"/>
        </w:rPr>
        <w:t>Blue</w:t>
      </w:r>
      <w:r w:rsidRPr="00F7387E">
        <w:rPr>
          <w:sz w:val="24"/>
          <w:szCs w:val="24"/>
        </w:rPr>
        <w:t>) concentrations were</w:t>
      </w:r>
      <w:r w:rsidR="007505A8">
        <w:rPr>
          <w:sz w:val="24"/>
          <w:szCs w:val="24"/>
        </w:rPr>
        <w:t xml:space="preserve"> </w:t>
      </w:r>
      <w:r w:rsidRPr="00F7387E">
        <w:rPr>
          <w:sz w:val="24"/>
          <w:szCs w:val="24"/>
        </w:rPr>
        <w:t>higher in the propionate treatment</w:t>
      </w:r>
      <w:r w:rsidR="007505A8">
        <w:rPr>
          <w:sz w:val="24"/>
          <w:szCs w:val="24"/>
        </w:rPr>
        <w:t xml:space="preserve"> increasing from dark/greenish to cyan</w:t>
      </w:r>
      <w:r w:rsidRPr="00F7387E">
        <w:rPr>
          <w:sz w:val="24"/>
          <w:szCs w:val="24"/>
        </w:rPr>
        <w:t xml:space="preserve">; (Black) the </w:t>
      </w:r>
      <w:r w:rsidR="007505A8">
        <w:rPr>
          <w:sz w:val="24"/>
          <w:szCs w:val="24"/>
        </w:rPr>
        <w:t>concentrations in the two</w:t>
      </w:r>
      <w:r w:rsidRPr="00F7387E">
        <w:rPr>
          <w:sz w:val="24"/>
          <w:szCs w:val="24"/>
        </w:rPr>
        <w:t xml:space="preserve"> substrate treatments </w:t>
      </w:r>
      <w:r w:rsidR="007505A8">
        <w:rPr>
          <w:sz w:val="24"/>
          <w:szCs w:val="24"/>
        </w:rPr>
        <w:t>were similar</w:t>
      </w:r>
      <w:r w:rsidRPr="00F7387E">
        <w:rPr>
          <w:sz w:val="24"/>
          <w:szCs w:val="24"/>
        </w:rPr>
        <w:t>; (Gray) metabolites were not detected in either treatment.</w:t>
      </w:r>
      <w:r>
        <w:rPr>
          <w:sz w:val="24"/>
          <w:szCs w:val="24"/>
        </w:rPr>
        <w:t xml:space="preserve"> Metabolites with a significant difference in concentration between the substrate treatments are indicated with (*) and the </w:t>
      </w:r>
      <w:r w:rsidRPr="003901AA">
        <w:rPr>
          <w:i/>
          <w:sz w:val="24"/>
          <w:szCs w:val="24"/>
        </w:rPr>
        <w:t>p</w:t>
      </w:r>
      <w:r>
        <w:rPr>
          <w:sz w:val="24"/>
          <w:szCs w:val="24"/>
        </w:rPr>
        <w:t>-value from an ANOVA test is reported.</w:t>
      </w:r>
    </w:p>
    <w:p w14:paraId="50AD6F90" w14:textId="77777777" w:rsidR="0027506A" w:rsidRDefault="0027506A" w:rsidP="00E57F54">
      <w:pPr>
        <w:rPr>
          <w:sz w:val="24"/>
          <w:szCs w:val="24"/>
        </w:rPr>
      </w:pPr>
    </w:p>
    <w:p w14:paraId="0AD474DB" w14:textId="144199DA" w:rsidR="001A6499" w:rsidRPr="0027506A" w:rsidRDefault="00E57F54" w:rsidP="001A6499">
      <w:pPr>
        <w:rPr>
          <w:sz w:val="24"/>
          <w:szCs w:val="24"/>
        </w:rPr>
      </w:pPr>
      <w:r>
        <w:rPr>
          <w:b/>
          <w:sz w:val="24"/>
          <w:szCs w:val="24"/>
        </w:rPr>
        <w:t>Fig.</w:t>
      </w:r>
      <w:r w:rsidRPr="000068A7">
        <w:rPr>
          <w:b/>
          <w:sz w:val="24"/>
          <w:szCs w:val="24"/>
        </w:rPr>
        <w:t xml:space="preserve"> </w:t>
      </w:r>
      <w:r w:rsidR="00CE3202">
        <w:rPr>
          <w:b/>
          <w:sz w:val="24"/>
          <w:szCs w:val="24"/>
        </w:rPr>
        <w:t>S3</w:t>
      </w:r>
      <w:r>
        <w:rPr>
          <w:b/>
          <w:sz w:val="24"/>
          <w:szCs w:val="24"/>
        </w:rPr>
        <w:t xml:space="preserve">. </w:t>
      </w:r>
      <w:r w:rsidR="008F194D">
        <w:rPr>
          <w:b/>
          <w:sz w:val="24"/>
          <w:szCs w:val="24"/>
        </w:rPr>
        <w:t xml:space="preserve">MTA concentrations in the 90% propionate / 10% DMSP experiment and the relationship between MTA response in the targeted and untargeted methods. a, </w:t>
      </w:r>
      <w:r w:rsidRPr="00FB5144">
        <w:rPr>
          <w:sz w:val="24"/>
          <w:szCs w:val="24"/>
        </w:rPr>
        <w:t>Extracellular concentrations of MTA during stationary growth phase, normalized to cell abundance.</w:t>
      </w:r>
      <w:r w:rsidRPr="00217902">
        <w:rPr>
          <w:sz w:val="24"/>
          <w:szCs w:val="24"/>
        </w:rPr>
        <w:t xml:space="preserve"> </w:t>
      </w:r>
      <w:r w:rsidRPr="00217902">
        <w:rPr>
          <w:i/>
          <w:sz w:val="24"/>
          <w:szCs w:val="24"/>
        </w:rPr>
        <w:t>R. pomeroyi</w:t>
      </w:r>
      <w:r w:rsidRPr="00217902">
        <w:rPr>
          <w:sz w:val="24"/>
          <w:szCs w:val="24"/>
        </w:rPr>
        <w:t xml:space="preserve"> was grown on media with </w:t>
      </w:r>
      <w:r>
        <w:rPr>
          <w:sz w:val="24"/>
          <w:szCs w:val="24"/>
        </w:rPr>
        <w:t xml:space="preserve">100% </w:t>
      </w:r>
      <w:r w:rsidRPr="00217902">
        <w:rPr>
          <w:sz w:val="24"/>
          <w:szCs w:val="24"/>
        </w:rPr>
        <w:t>propionate,</w:t>
      </w:r>
      <w:r>
        <w:rPr>
          <w:sz w:val="24"/>
          <w:szCs w:val="24"/>
        </w:rPr>
        <w:t xml:space="preserve"> 100% DMSP, and 10% DMSP / 90% propionate. The total carbon added to each treatment was the same (3 mM).</w:t>
      </w:r>
      <w:r w:rsidR="008F194D">
        <w:rPr>
          <w:b/>
          <w:sz w:val="24"/>
          <w:szCs w:val="24"/>
        </w:rPr>
        <w:t xml:space="preserve"> b, </w:t>
      </w:r>
      <w:r w:rsidR="001A6499" w:rsidRPr="00FB5144">
        <w:rPr>
          <w:sz w:val="24"/>
          <w:szCs w:val="24"/>
        </w:rPr>
        <w:t>Comparison of extracellular MTA measured in the targeted method versus the untargeted method.</w:t>
      </w:r>
      <w:r w:rsidR="001A6499">
        <w:rPr>
          <w:b/>
          <w:sz w:val="24"/>
          <w:szCs w:val="24"/>
        </w:rPr>
        <w:t xml:space="preserve"> </w:t>
      </w:r>
      <w:r w:rsidR="001A6499">
        <w:rPr>
          <w:sz w:val="24"/>
          <w:szCs w:val="24"/>
        </w:rPr>
        <w:t xml:space="preserve">The linear trend indicates that relative MTA response was similar on both instruments. </w:t>
      </w:r>
      <w:r w:rsidR="00DF6A87">
        <w:rPr>
          <w:sz w:val="24"/>
          <w:szCs w:val="24"/>
        </w:rPr>
        <w:lastRenderedPageBreak/>
        <w:t xml:space="preserve">There was a significant correlation between the two methods (Pearson correlation coefficient, r = 0.9778, p &lt;&lt; 0.0001). </w:t>
      </w:r>
      <w:r w:rsidR="001A6499">
        <w:rPr>
          <w:sz w:val="24"/>
          <w:szCs w:val="24"/>
        </w:rPr>
        <w:t>Red is the DMSP treatment, blue is the propionate treatment.</w:t>
      </w:r>
    </w:p>
    <w:p w14:paraId="2BEA0976" w14:textId="695712D1" w:rsidR="000772DB" w:rsidRDefault="000772DB" w:rsidP="00C9274A">
      <w:pPr>
        <w:rPr>
          <w:sz w:val="24"/>
          <w:szCs w:val="24"/>
        </w:rPr>
      </w:pPr>
    </w:p>
    <w:p w14:paraId="7C57930E" w14:textId="33B7F34C" w:rsidR="00C9274A" w:rsidRDefault="00C9274A" w:rsidP="00C9274A">
      <w:pPr>
        <w:rPr>
          <w:sz w:val="24"/>
          <w:szCs w:val="24"/>
        </w:rPr>
      </w:pPr>
      <w:r>
        <w:rPr>
          <w:b/>
          <w:sz w:val="24"/>
          <w:szCs w:val="24"/>
        </w:rPr>
        <w:t>Fig.</w:t>
      </w:r>
      <w:r w:rsidRPr="000068A7">
        <w:rPr>
          <w:b/>
          <w:sz w:val="24"/>
          <w:szCs w:val="24"/>
        </w:rPr>
        <w:t xml:space="preserve"> </w:t>
      </w:r>
      <w:r w:rsidR="00CE3202">
        <w:rPr>
          <w:b/>
          <w:sz w:val="24"/>
          <w:szCs w:val="24"/>
        </w:rPr>
        <w:t>S4</w:t>
      </w:r>
      <w:r>
        <w:rPr>
          <w:b/>
          <w:sz w:val="24"/>
          <w:szCs w:val="24"/>
        </w:rPr>
        <w:t xml:space="preserve">. </w:t>
      </w:r>
      <w:r w:rsidRPr="000068A7">
        <w:rPr>
          <w:b/>
          <w:sz w:val="24"/>
          <w:szCs w:val="24"/>
        </w:rPr>
        <w:t>Non-metric multidimensional scaling plots for extracellular samples based on a Bray-Curtis distance matrix of peak area</w:t>
      </w:r>
      <w:r>
        <w:rPr>
          <w:b/>
          <w:sz w:val="24"/>
          <w:szCs w:val="24"/>
        </w:rPr>
        <w:t xml:space="preserve"> normalized to filtrate volume.</w:t>
      </w:r>
      <w:r>
        <w:rPr>
          <w:sz w:val="24"/>
          <w:szCs w:val="24"/>
        </w:rPr>
        <w:t xml:space="preserve"> </w:t>
      </w:r>
      <w:r w:rsidR="00D44248">
        <w:rPr>
          <w:sz w:val="24"/>
          <w:szCs w:val="24"/>
        </w:rPr>
        <w:t>For both positive and negative ion mode</w:t>
      </w:r>
      <w:r w:rsidR="007020E5">
        <w:rPr>
          <w:sz w:val="24"/>
          <w:szCs w:val="24"/>
        </w:rPr>
        <w:t>s</w:t>
      </w:r>
      <w:r w:rsidR="00D44248">
        <w:rPr>
          <w:sz w:val="24"/>
          <w:szCs w:val="24"/>
        </w:rPr>
        <w:t>, t</w:t>
      </w:r>
      <w:r w:rsidRPr="00217902">
        <w:rPr>
          <w:sz w:val="24"/>
          <w:szCs w:val="24"/>
        </w:rPr>
        <w:t xml:space="preserve">he dominant factor is time although there is some clustering based on substrate. The relative percent of variation explained by each axis is </w:t>
      </w:r>
      <w:r w:rsidR="007020E5">
        <w:rPr>
          <w:sz w:val="24"/>
          <w:szCs w:val="24"/>
        </w:rPr>
        <w:t>included</w:t>
      </w:r>
      <w:r w:rsidR="007020E5" w:rsidRPr="00217902">
        <w:rPr>
          <w:sz w:val="24"/>
          <w:szCs w:val="24"/>
        </w:rPr>
        <w:t xml:space="preserve"> </w:t>
      </w:r>
      <w:r w:rsidRPr="00217902">
        <w:rPr>
          <w:sz w:val="24"/>
          <w:szCs w:val="24"/>
        </w:rPr>
        <w:t xml:space="preserve">in the label. </w:t>
      </w:r>
      <w:r>
        <w:rPr>
          <w:sz w:val="24"/>
          <w:szCs w:val="24"/>
        </w:rPr>
        <w:t xml:space="preserve">Each marker represents a sample and </w:t>
      </w:r>
      <w:r w:rsidR="007020E5">
        <w:rPr>
          <w:sz w:val="24"/>
          <w:szCs w:val="24"/>
        </w:rPr>
        <w:t xml:space="preserve">more similar samples appear closer to one another in this plot. </w:t>
      </w:r>
      <w:r w:rsidRPr="00217902">
        <w:rPr>
          <w:sz w:val="24"/>
          <w:szCs w:val="24"/>
        </w:rPr>
        <w:t>Squares represent propionate samples and triangles represent DMSP samples.</w:t>
      </w:r>
    </w:p>
    <w:p w14:paraId="08A960EE" w14:textId="4D6199F8" w:rsidR="001B17EF" w:rsidRDefault="001B17EF" w:rsidP="001B17EF">
      <w:pPr>
        <w:rPr>
          <w:sz w:val="24"/>
          <w:szCs w:val="24"/>
        </w:rPr>
      </w:pPr>
    </w:p>
    <w:p w14:paraId="5E27F709" w14:textId="5E9CB7C5" w:rsidR="007255DE" w:rsidRDefault="007255DE" w:rsidP="00FB5144">
      <w:pPr>
        <w:rPr>
          <w:sz w:val="24"/>
          <w:szCs w:val="24"/>
        </w:rPr>
      </w:pPr>
      <w:r>
        <w:rPr>
          <w:b/>
          <w:sz w:val="24"/>
          <w:szCs w:val="24"/>
        </w:rPr>
        <w:t>Fig.</w:t>
      </w:r>
      <w:r w:rsidRPr="00CB1CEC">
        <w:rPr>
          <w:b/>
          <w:sz w:val="24"/>
          <w:szCs w:val="24"/>
        </w:rPr>
        <w:t xml:space="preserve"> </w:t>
      </w:r>
      <w:r>
        <w:rPr>
          <w:b/>
          <w:sz w:val="24"/>
          <w:szCs w:val="24"/>
        </w:rPr>
        <w:t>S5</w:t>
      </w:r>
      <w:r w:rsidRPr="00CB1CEC">
        <w:rPr>
          <w:b/>
          <w:sz w:val="24"/>
          <w:szCs w:val="24"/>
        </w:rPr>
        <w:t>: Overview of MTA production and degradation.</w:t>
      </w:r>
      <w:r w:rsidRPr="00F7387E">
        <w:rPr>
          <w:sz w:val="24"/>
          <w:szCs w:val="24"/>
        </w:rPr>
        <w:t xml:space="preserve"> MTA is a by-product of two metabolic pathways. One produces an acyl homoserine lactone (left) and the other converts putrescine to spermidine (right). </w:t>
      </w:r>
      <w:r>
        <w:rPr>
          <w:sz w:val="24"/>
          <w:szCs w:val="24"/>
        </w:rPr>
        <w:t xml:space="preserve">MTA and an AHL were measured extracellularly at higher concentrations in the DMSP treatment. </w:t>
      </w:r>
      <w:r w:rsidRPr="00F7387E">
        <w:rPr>
          <w:sz w:val="24"/>
          <w:szCs w:val="24"/>
        </w:rPr>
        <w:t xml:space="preserve">The </w:t>
      </w:r>
      <w:r w:rsidRPr="00F7387E">
        <w:rPr>
          <w:i/>
          <w:sz w:val="24"/>
          <w:szCs w:val="24"/>
        </w:rPr>
        <w:t>R. pomeroyi</w:t>
      </w:r>
      <w:r>
        <w:rPr>
          <w:sz w:val="24"/>
          <w:szCs w:val="24"/>
        </w:rPr>
        <w:t xml:space="preserve"> genome lacks this</w:t>
      </w:r>
      <w:r w:rsidRPr="00F7387E">
        <w:rPr>
          <w:sz w:val="24"/>
          <w:szCs w:val="24"/>
        </w:rPr>
        <w:t xml:space="preserve"> pathway for spermidine/spermine synthesis </w:t>
      </w:r>
      <w:r>
        <w:rPr>
          <w:sz w:val="24"/>
          <w:szCs w:val="24"/>
        </w:rPr>
        <w:t xml:space="preserve">that produces MTA </w:t>
      </w:r>
      <w:r w:rsidRPr="00F7387E">
        <w:rPr>
          <w:sz w:val="24"/>
          <w:szCs w:val="24"/>
        </w:rPr>
        <w:t>and instead</w:t>
      </w:r>
      <w:r w:rsidRPr="00F7387E">
        <w:rPr>
          <w:i/>
          <w:sz w:val="24"/>
          <w:szCs w:val="24"/>
        </w:rPr>
        <w:t xml:space="preserve"> </w:t>
      </w:r>
      <w:r w:rsidRPr="00F7387E">
        <w:rPr>
          <w:sz w:val="24"/>
          <w:szCs w:val="24"/>
        </w:rPr>
        <w:t xml:space="preserve">contains the genes for </w:t>
      </w:r>
      <w:r>
        <w:rPr>
          <w:sz w:val="24"/>
          <w:szCs w:val="24"/>
        </w:rPr>
        <w:t xml:space="preserve">an alternate pathway requiring </w:t>
      </w:r>
      <w:r w:rsidRPr="00F7387E">
        <w:rPr>
          <w:sz w:val="24"/>
          <w:szCs w:val="24"/>
        </w:rPr>
        <w:t>the enzymes carboxyspermidine dehydrogenase and carboxyspermidine decarboxylase</w:t>
      </w:r>
      <w:r w:rsidRPr="00F7387E" w:rsidDel="00C85005">
        <w:rPr>
          <w:sz w:val="24"/>
          <w:szCs w:val="24"/>
        </w:rPr>
        <w:t xml:space="preserve"> </w:t>
      </w:r>
      <w:r w:rsidRPr="00F7387E">
        <w:rPr>
          <w:sz w:val="24"/>
          <w:szCs w:val="24"/>
        </w:rPr>
        <w:t>to c</w:t>
      </w:r>
      <w:r>
        <w:rPr>
          <w:sz w:val="24"/>
          <w:szCs w:val="24"/>
        </w:rPr>
        <w:t>onvert putrescine to spermidine</w:t>
      </w:r>
      <w:r w:rsidRPr="00F7387E">
        <w:rPr>
          <w:sz w:val="24"/>
          <w:szCs w:val="24"/>
        </w:rPr>
        <w:t xml:space="preserve">. Only the first gene </w:t>
      </w:r>
      <w:r>
        <w:rPr>
          <w:sz w:val="24"/>
          <w:szCs w:val="24"/>
        </w:rPr>
        <w:t xml:space="preserve">(S-methyl-5´-thioadenosine phosphorylase) </w:t>
      </w:r>
      <w:r w:rsidRPr="00F7387E">
        <w:rPr>
          <w:sz w:val="24"/>
          <w:szCs w:val="24"/>
        </w:rPr>
        <w:t xml:space="preserve">of the classic </w:t>
      </w:r>
      <w:r w:rsidRPr="00E56170">
        <w:rPr>
          <w:sz w:val="24"/>
          <w:szCs w:val="24"/>
        </w:rPr>
        <w:t>methionine salvage pathway</w:t>
      </w:r>
      <w:r w:rsidRPr="00F7387E">
        <w:rPr>
          <w:sz w:val="24"/>
          <w:szCs w:val="24"/>
        </w:rPr>
        <w:t xml:space="preserve"> has been annotated</w:t>
      </w:r>
      <w:r>
        <w:rPr>
          <w:sz w:val="24"/>
          <w:szCs w:val="24"/>
        </w:rPr>
        <w:t xml:space="preserve"> in the </w:t>
      </w:r>
      <w:r w:rsidRPr="00CF5819">
        <w:rPr>
          <w:i/>
          <w:sz w:val="24"/>
          <w:szCs w:val="24"/>
        </w:rPr>
        <w:t>R. pomeroyi</w:t>
      </w:r>
      <w:r>
        <w:rPr>
          <w:sz w:val="24"/>
          <w:szCs w:val="24"/>
        </w:rPr>
        <w:t xml:space="preserve"> genome</w:t>
      </w:r>
      <w:r w:rsidRPr="00F7387E">
        <w:rPr>
          <w:sz w:val="24"/>
          <w:szCs w:val="24"/>
        </w:rPr>
        <w:t>.</w:t>
      </w:r>
    </w:p>
    <w:p w14:paraId="4A27442A" w14:textId="77777777" w:rsidR="007255DE" w:rsidRDefault="007255DE" w:rsidP="00FB5144">
      <w:pPr>
        <w:rPr>
          <w:sz w:val="24"/>
          <w:szCs w:val="24"/>
        </w:rPr>
      </w:pPr>
    </w:p>
    <w:p w14:paraId="6C86C287" w14:textId="741A59FD" w:rsidR="007255DE" w:rsidRPr="000C5680" w:rsidRDefault="007255DE" w:rsidP="00FB5144">
      <w:pPr>
        <w:rPr>
          <w:sz w:val="24"/>
          <w:szCs w:val="24"/>
        </w:rPr>
      </w:pPr>
      <w:r>
        <w:rPr>
          <w:b/>
          <w:sz w:val="24"/>
          <w:szCs w:val="24"/>
        </w:rPr>
        <w:t xml:space="preserve">Fig. S6: </w:t>
      </w:r>
      <w:r w:rsidRPr="00780AC9">
        <w:rPr>
          <w:b/>
          <w:sz w:val="24"/>
          <w:szCs w:val="24"/>
        </w:rPr>
        <w:t>End-products of the biosynthetic pathways that require chorismate</w:t>
      </w:r>
      <w:r>
        <w:rPr>
          <w:b/>
          <w:sz w:val="24"/>
          <w:szCs w:val="24"/>
        </w:rPr>
        <w:t xml:space="preserve"> and chorismate biosynthesis</w:t>
      </w:r>
      <w:r w:rsidRPr="00780AC9">
        <w:rPr>
          <w:b/>
          <w:sz w:val="24"/>
          <w:szCs w:val="24"/>
        </w:rPr>
        <w:t>.</w:t>
      </w:r>
      <w:r w:rsidRPr="00E52D88">
        <w:rPr>
          <w:sz w:val="24"/>
          <w:szCs w:val="24"/>
        </w:rPr>
        <w:t xml:space="preserve"> Tyrosine was not included in the targeted method and was not detected in the untargeted method. Phenylalanine, tryptophan, 4-aminobenzoic acid, and 2,3-dihydroxybenzoic acid were all quantified in the targeted method. If present, the cell-normalized concentrations were similar between both treatments. Red: DMSP treatment, Blue: propionate treatment, Black: compound was not detected in either treatment.</w:t>
      </w:r>
    </w:p>
    <w:p w14:paraId="7786ACC4" w14:textId="77777777" w:rsidR="007255DE" w:rsidRDefault="007255DE" w:rsidP="00FB5144">
      <w:pPr>
        <w:rPr>
          <w:sz w:val="24"/>
          <w:szCs w:val="24"/>
        </w:rPr>
      </w:pPr>
    </w:p>
    <w:p w14:paraId="10958187" w14:textId="77777777" w:rsidR="007255DE" w:rsidRPr="00217902" w:rsidRDefault="007255DE" w:rsidP="00C053F8">
      <w:pPr>
        <w:rPr>
          <w:sz w:val="24"/>
          <w:szCs w:val="24"/>
        </w:rPr>
      </w:pPr>
    </w:p>
    <w:p w14:paraId="0B24A447" w14:textId="77777777" w:rsidR="00A511B4" w:rsidRDefault="00A511B4">
      <w:pPr>
        <w:rPr>
          <w:b/>
          <w:sz w:val="24"/>
          <w:szCs w:val="24"/>
        </w:rPr>
      </w:pPr>
    </w:p>
    <w:sectPr w:rsidR="00A511B4" w:rsidSect="00F81766">
      <w:footerReference w:type="even" r:id="rId8"/>
      <w:footerReference w:type="default" r:id="rId9"/>
      <w:headerReference w:type="first" r:id="rId10"/>
      <w:pgSz w:w="12240" w:h="15840"/>
      <w:pgMar w:top="1440" w:right="1440" w:bottom="1440" w:left="1440"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156E" w14:textId="77777777" w:rsidR="00F651B3" w:rsidRDefault="00F651B3">
      <w:r>
        <w:separator/>
      </w:r>
    </w:p>
  </w:endnote>
  <w:endnote w:type="continuationSeparator" w:id="0">
    <w:p w14:paraId="64BCA1BC" w14:textId="77777777" w:rsidR="00F651B3" w:rsidRDefault="00F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B4B2" w14:textId="77777777" w:rsidR="00F651B3" w:rsidRDefault="00F651B3" w:rsidP="00F81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CBF32" w14:textId="77777777" w:rsidR="00F651B3" w:rsidRDefault="00F65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D45C" w14:textId="77777777" w:rsidR="00F651B3" w:rsidRDefault="00F651B3" w:rsidP="00F81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14C">
      <w:rPr>
        <w:rStyle w:val="PageNumber"/>
        <w:noProof/>
      </w:rPr>
      <w:t>12</w:t>
    </w:r>
    <w:r>
      <w:rPr>
        <w:rStyle w:val="PageNumber"/>
      </w:rPr>
      <w:fldChar w:fldCharType="end"/>
    </w:r>
  </w:p>
  <w:p w14:paraId="25B882FF" w14:textId="77777777" w:rsidR="00F651B3" w:rsidRDefault="00F65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43A" w14:textId="77777777" w:rsidR="00F651B3" w:rsidRDefault="00F651B3">
      <w:r>
        <w:separator/>
      </w:r>
    </w:p>
  </w:footnote>
  <w:footnote w:type="continuationSeparator" w:id="0">
    <w:p w14:paraId="3ECC37E1" w14:textId="77777777" w:rsidR="00F651B3" w:rsidRDefault="00F65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2465" w14:textId="77777777" w:rsidR="00F651B3" w:rsidRPr="00204015" w:rsidRDefault="00F651B3" w:rsidP="00F81766">
    <w:pPr>
      <w:pStyle w:val="Header"/>
    </w:pPr>
    <w:r>
      <w:tab/>
    </w:r>
    <w:r>
      <w:tab/>
    </w:r>
  </w:p>
  <w:p w14:paraId="196635C6" w14:textId="77777777" w:rsidR="00F651B3" w:rsidRDefault="00F651B3" w:rsidP="00F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F"/>
    <w:rsid w:val="00000290"/>
    <w:rsid w:val="000335FD"/>
    <w:rsid w:val="000560B7"/>
    <w:rsid w:val="000574E3"/>
    <w:rsid w:val="00063346"/>
    <w:rsid w:val="000772DB"/>
    <w:rsid w:val="00086414"/>
    <w:rsid w:val="000A48CE"/>
    <w:rsid w:val="000B5CC2"/>
    <w:rsid w:val="000C5748"/>
    <w:rsid w:val="000D6E2B"/>
    <w:rsid w:val="000E1704"/>
    <w:rsid w:val="000F246A"/>
    <w:rsid w:val="00134609"/>
    <w:rsid w:val="001539A8"/>
    <w:rsid w:val="00156263"/>
    <w:rsid w:val="00180965"/>
    <w:rsid w:val="001A6499"/>
    <w:rsid w:val="001B17EF"/>
    <w:rsid w:val="001D78A6"/>
    <w:rsid w:val="001F269D"/>
    <w:rsid w:val="001F45CE"/>
    <w:rsid w:val="001F5B4B"/>
    <w:rsid w:val="00232F80"/>
    <w:rsid w:val="002341F7"/>
    <w:rsid w:val="00260EC0"/>
    <w:rsid w:val="0026142F"/>
    <w:rsid w:val="002647E0"/>
    <w:rsid w:val="0027506A"/>
    <w:rsid w:val="00282370"/>
    <w:rsid w:val="0028603B"/>
    <w:rsid w:val="002B1398"/>
    <w:rsid w:val="002B3D87"/>
    <w:rsid w:val="002D1F79"/>
    <w:rsid w:val="002D477F"/>
    <w:rsid w:val="00310D36"/>
    <w:rsid w:val="00326B41"/>
    <w:rsid w:val="003276E6"/>
    <w:rsid w:val="00333E2A"/>
    <w:rsid w:val="00345DFF"/>
    <w:rsid w:val="00351210"/>
    <w:rsid w:val="003901AA"/>
    <w:rsid w:val="0039700D"/>
    <w:rsid w:val="003A4515"/>
    <w:rsid w:val="003C2D65"/>
    <w:rsid w:val="003D016B"/>
    <w:rsid w:val="00402869"/>
    <w:rsid w:val="004340FF"/>
    <w:rsid w:val="00474A46"/>
    <w:rsid w:val="004862B5"/>
    <w:rsid w:val="004A3428"/>
    <w:rsid w:val="004D73AD"/>
    <w:rsid w:val="004E3429"/>
    <w:rsid w:val="004F2EE0"/>
    <w:rsid w:val="004F3793"/>
    <w:rsid w:val="004F4642"/>
    <w:rsid w:val="004F6300"/>
    <w:rsid w:val="00511A5C"/>
    <w:rsid w:val="005259E0"/>
    <w:rsid w:val="00527570"/>
    <w:rsid w:val="00563691"/>
    <w:rsid w:val="00567F7B"/>
    <w:rsid w:val="0057631B"/>
    <w:rsid w:val="00587571"/>
    <w:rsid w:val="005965DF"/>
    <w:rsid w:val="005A74B8"/>
    <w:rsid w:val="005A7A15"/>
    <w:rsid w:val="005B3CCC"/>
    <w:rsid w:val="005C4A04"/>
    <w:rsid w:val="00602931"/>
    <w:rsid w:val="0060480C"/>
    <w:rsid w:val="00611D76"/>
    <w:rsid w:val="00633B8B"/>
    <w:rsid w:val="00697B69"/>
    <w:rsid w:val="006A799F"/>
    <w:rsid w:val="006C0543"/>
    <w:rsid w:val="006C652D"/>
    <w:rsid w:val="006F2216"/>
    <w:rsid w:val="006F2DCF"/>
    <w:rsid w:val="006F6B23"/>
    <w:rsid w:val="007020E5"/>
    <w:rsid w:val="00702CB3"/>
    <w:rsid w:val="00713083"/>
    <w:rsid w:val="00723B07"/>
    <w:rsid w:val="007255DE"/>
    <w:rsid w:val="007505A8"/>
    <w:rsid w:val="00754A1B"/>
    <w:rsid w:val="007A5861"/>
    <w:rsid w:val="007E08DA"/>
    <w:rsid w:val="007E316E"/>
    <w:rsid w:val="00821095"/>
    <w:rsid w:val="00845262"/>
    <w:rsid w:val="00867DBA"/>
    <w:rsid w:val="00884687"/>
    <w:rsid w:val="008C15AF"/>
    <w:rsid w:val="008C5988"/>
    <w:rsid w:val="008C62A0"/>
    <w:rsid w:val="008D2437"/>
    <w:rsid w:val="008E1CB5"/>
    <w:rsid w:val="008E6416"/>
    <w:rsid w:val="008F194D"/>
    <w:rsid w:val="008F1C45"/>
    <w:rsid w:val="009061FB"/>
    <w:rsid w:val="00945B98"/>
    <w:rsid w:val="00990808"/>
    <w:rsid w:val="00995762"/>
    <w:rsid w:val="009A383D"/>
    <w:rsid w:val="009A3F27"/>
    <w:rsid w:val="009A7BC7"/>
    <w:rsid w:val="009B2B43"/>
    <w:rsid w:val="009E0713"/>
    <w:rsid w:val="00A0123A"/>
    <w:rsid w:val="00A21171"/>
    <w:rsid w:val="00A330BB"/>
    <w:rsid w:val="00A43B67"/>
    <w:rsid w:val="00A511B4"/>
    <w:rsid w:val="00A72B36"/>
    <w:rsid w:val="00A870F7"/>
    <w:rsid w:val="00A93C6B"/>
    <w:rsid w:val="00AC6DE0"/>
    <w:rsid w:val="00AD38EF"/>
    <w:rsid w:val="00AD4062"/>
    <w:rsid w:val="00AE735C"/>
    <w:rsid w:val="00B02141"/>
    <w:rsid w:val="00B2305B"/>
    <w:rsid w:val="00B368E0"/>
    <w:rsid w:val="00B404A5"/>
    <w:rsid w:val="00B52231"/>
    <w:rsid w:val="00B546CF"/>
    <w:rsid w:val="00B64A6B"/>
    <w:rsid w:val="00BB3A40"/>
    <w:rsid w:val="00BD2FF3"/>
    <w:rsid w:val="00BD6CA1"/>
    <w:rsid w:val="00BE72AE"/>
    <w:rsid w:val="00BF4729"/>
    <w:rsid w:val="00C053F8"/>
    <w:rsid w:val="00C2592E"/>
    <w:rsid w:val="00C443E9"/>
    <w:rsid w:val="00C502DD"/>
    <w:rsid w:val="00C73554"/>
    <w:rsid w:val="00C9274A"/>
    <w:rsid w:val="00CA4DBE"/>
    <w:rsid w:val="00CB0EB3"/>
    <w:rsid w:val="00CB1189"/>
    <w:rsid w:val="00CE1D1A"/>
    <w:rsid w:val="00CE3202"/>
    <w:rsid w:val="00CF4531"/>
    <w:rsid w:val="00D1456D"/>
    <w:rsid w:val="00D152D7"/>
    <w:rsid w:val="00D22DAC"/>
    <w:rsid w:val="00D34094"/>
    <w:rsid w:val="00D44248"/>
    <w:rsid w:val="00D62609"/>
    <w:rsid w:val="00D712B1"/>
    <w:rsid w:val="00D71AB5"/>
    <w:rsid w:val="00D81206"/>
    <w:rsid w:val="00D82B82"/>
    <w:rsid w:val="00D82E3C"/>
    <w:rsid w:val="00D92126"/>
    <w:rsid w:val="00DA0EE0"/>
    <w:rsid w:val="00DA59B6"/>
    <w:rsid w:val="00DE7631"/>
    <w:rsid w:val="00DF6A87"/>
    <w:rsid w:val="00DF6BE4"/>
    <w:rsid w:val="00E2576B"/>
    <w:rsid w:val="00E30562"/>
    <w:rsid w:val="00E32C1C"/>
    <w:rsid w:val="00E36E6D"/>
    <w:rsid w:val="00E41D87"/>
    <w:rsid w:val="00E4584C"/>
    <w:rsid w:val="00E4729C"/>
    <w:rsid w:val="00E57F54"/>
    <w:rsid w:val="00E6234E"/>
    <w:rsid w:val="00E638F8"/>
    <w:rsid w:val="00E7092F"/>
    <w:rsid w:val="00E72CDB"/>
    <w:rsid w:val="00E9324D"/>
    <w:rsid w:val="00EA0488"/>
    <w:rsid w:val="00EB142B"/>
    <w:rsid w:val="00EE6BFD"/>
    <w:rsid w:val="00F132A9"/>
    <w:rsid w:val="00F247E4"/>
    <w:rsid w:val="00F5593F"/>
    <w:rsid w:val="00F6481A"/>
    <w:rsid w:val="00F651B3"/>
    <w:rsid w:val="00F81766"/>
    <w:rsid w:val="00F9106C"/>
    <w:rsid w:val="00F95E7B"/>
    <w:rsid w:val="00FA014C"/>
    <w:rsid w:val="00FA5695"/>
    <w:rsid w:val="00FB5144"/>
    <w:rsid w:val="00FC379F"/>
    <w:rsid w:val="00FD16F4"/>
    <w:rsid w:val="00FE48A1"/>
    <w:rsid w:val="00FF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A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E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
    <w:name w:val="AppendixHead"/>
    <w:basedOn w:val="Normal"/>
    <w:rsid w:val="001B17EF"/>
    <w:pPr>
      <w:keepNext/>
      <w:spacing w:before="240"/>
      <w:outlineLvl w:val="0"/>
    </w:pPr>
    <w:rPr>
      <w:rFonts w:eastAsia="Times New Roman"/>
      <w:b/>
      <w:bCs/>
      <w:kern w:val="28"/>
      <w:sz w:val="24"/>
      <w:szCs w:val="24"/>
    </w:rPr>
  </w:style>
  <w:style w:type="paragraph" w:styleId="Footer">
    <w:name w:val="footer"/>
    <w:basedOn w:val="Normal"/>
    <w:link w:val="FooterChar"/>
    <w:uiPriority w:val="99"/>
    <w:rsid w:val="001B17EF"/>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B17EF"/>
    <w:rPr>
      <w:rFonts w:ascii="Times New Roman" w:eastAsia="Times New Roman" w:hAnsi="Times New Roman" w:cs="Times New Roman"/>
      <w:sz w:val="20"/>
      <w:szCs w:val="20"/>
    </w:rPr>
  </w:style>
  <w:style w:type="paragraph" w:styleId="Header">
    <w:name w:val="header"/>
    <w:basedOn w:val="Normal"/>
    <w:link w:val="HeaderChar"/>
    <w:rsid w:val="001B17EF"/>
    <w:pPr>
      <w:tabs>
        <w:tab w:val="center" w:pos="4320"/>
        <w:tab w:val="right" w:pos="8640"/>
      </w:tabs>
    </w:pPr>
    <w:rPr>
      <w:rFonts w:eastAsia="Times New Roman"/>
    </w:rPr>
  </w:style>
  <w:style w:type="character" w:customStyle="1" w:styleId="HeaderChar">
    <w:name w:val="Header Char"/>
    <w:basedOn w:val="DefaultParagraphFont"/>
    <w:link w:val="Header"/>
    <w:rsid w:val="001B17EF"/>
    <w:rPr>
      <w:rFonts w:ascii="Times New Roman" w:eastAsia="Times New Roman" w:hAnsi="Times New Roman" w:cs="Times New Roman"/>
      <w:sz w:val="20"/>
      <w:szCs w:val="20"/>
    </w:rPr>
  </w:style>
  <w:style w:type="character" w:styleId="PageNumber">
    <w:name w:val="page number"/>
    <w:basedOn w:val="DefaultParagraphFont"/>
    <w:uiPriority w:val="99"/>
    <w:rsid w:val="001B17EF"/>
  </w:style>
  <w:style w:type="table" w:styleId="TableGrid">
    <w:name w:val="Table Grid"/>
    <w:basedOn w:val="TableNormal"/>
    <w:uiPriority w:val="59"/>
    <w:rsid w:val="001B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17EF"/>
    <w:pPr>
      <w:spacing w:before="100" w:beforeAutospacing="1" w:after="100" w:afterAutospacing="1"/>
    </w:pPr>
    <w:rPr>
      <w:rFonts w:ascii="Times" w:eastAsiaTheme="minorEastAsia" w:hAnsi="Times"/>
    </w:rPr>
  </w:style>
  <w:style w:type="character" w:styleId="LineNumber">
    <w:name w:val="line number"/>
    <w:basedOn w:val="DefaultParagraphFont"/>
    <w:uiPriority w:val="99"/>
    <w:semiHidden/>
    <w:unhideWhenUsed/>
    <w:rsid w:val="001B17EF"/>
  </w:style>
  <w:style w:type="paragraph" w:styleId="BalloonText">
    <w:name w:val="Balloon Text"/>
    <w:basedOn w:val="Normal"/>
    <w:link w:val="BalloonTextChar"/>
    <w:uiPriority w:val="99"/>
    <w:semiHidden/>
    <w:unhideWhenUsed/>
    <w:rsid w:val="001B1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7EF"/>
    <w:rPr>
      <w:rFonts w:ascii="Lucida Grande" w:eastAsia="Calibri" w:hAnsi="Lucida Grande" w:cs="Lucida Grande"/>
      <w:sz w:val="18"/>
      <w:szCs w:val="18"/>
    </w:rPr>
  </w:style>
  <w:style w:type="paragraph" w:styleId="ListParagraph">
    <w:name w:val="List Paragraph"/>
    <w:basedOn w:val="Normal"/>
    <w:uiPriority w:val="34"/>
    <w:qFormat/>
    <w:rsid w:val="00F81766"/>
    <w:pPr>
      <w:ind w:left="720"/>
      <w:contextualSpacing/>
    </w:pPr>
  </w:style>
  <w:style w:type="character" w:styleId="CommentReference">
    <w:name w:val="annotation reference"/>
    <w:basedOn w:val="DefaultParagraphFont"/>
    <w:uiPriority w:val="99"/>
    <w:semiHidden/>
    <w:unhideWhenUsed/>
    <w:rsid w:val="00AE735C"/>
    <w:rPr>
      <w:sz w:val="18"/>
      <w:szCs w:val="18"/>
    </w:rPr>
  </w:style>
  <w:style w:type="paragraph" w:styleId="CommentText">
    <w:name w:val="annotation text"/>
    <w:basedOn w:val="Normal"/>
    <w:link w:val="CommentTextChar"/>
    <w:uiPriority w:val="99"/>
    <w:semiHidden/>
    <w:unhideWhenUsed/>
    <w:rsid w:val="00AE735C"/>
    <w:rPr>
      <w:sz w:val="24"/>
      <w:szCs w:val="24"/>
    </w:rPr>
  </w:style>
  <w:style w:type="character" w:customStyle="1" w:styleId="CommentTextChar">
    <w:name w:val="Comment Text Char"/>
    <w:basedOn w:val="DefaultParagraphFont"/>
    <w:link w:val="CommentText"/>
    <w:uiPriority w:val="99"/>
    <w:semiHidden/>
    <w:rsid w:val="00AE735C"/>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AE735C"/>
    <w:rPr>
      <w:b/>
      <w:bCs/>
      <w:sz w:val="20"/>
      <w:szCs w:val="20"/>
    </w:rPr>
  </w:style>
  <w:style w:type="character" w:customStyle="1" w:styleId="CommentSubjectChar">
    <w:name w:val="Comment Subject Char"/>
    <w:basedOn w:val="CommentTextChar"/>
    <w:link w:val="CommentSubject"/>
    <w:uiPriority w:val="99"/>
    <w:semiHidden/>
    <w:rsid w:val="00AE735C"/>
    <w:rPr>
      <w:rFonts w:ascii="Times New Roman" w:eastAsia="Calibri" w:hAnsi="Times New Roman" w:cs="Times New Roman"/>
      <w:b/>
      <w:bCs/>
      <w:sz w:val="20"/>
      <w:szCs w:val="20"/>
    </w:rPr>
  </w:style>
  <w:style w:type="paragraph" w:styleId="Revision">
    <w:name w:val="Revision"/>
    <w:hidden/>
    <w:uiPriority w:val="99"/>
    <w:semiHidden/>
    <w:rsid w:val="004A3428"/>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E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
    <w:name w:val="AppendixHead"/>
    <w:basedOn w:val="Normal"/>
    <w:rsid w:val="001B17EF"/>
    <w:pPr>
      <w:keepNext/>
      <w:spacing w:before="240"/>
      <w:outlineLvl w:val="0"/>
    </w:pPr>
    <w:rPr>
      <w:rFonts w:eastAsia="Times New Roman"/>
      <w:b/>
      <w:bCs/>
      <w:kern w:val="28"/>
      <w:sz w:val="24"/>
      <w:szCs w:val="24"/>
    </w:rPr>
  </w:style>
  <w:style w:type="paragraph" w:styleId="Footer">
    <w:name w:val="footer"/>
    <w:basedOn w:val="Normal"/>
    <w:link w:val="FooterChar"/>
    <w:uiPriority w:val="99"/>
    <w:rsid w:val="001B17EF"/>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B17EF"/>
    <w:rPr>
      <w:rFonts w:ascii="Times New Roman" w:eastAsia="Times New Roman" w:hAnsi="Times New Roman" w:cs="Times New Roman"/>
      <w:sz w:val="20"/>
      <w:szCs w:val="20"/>
    </w:rPr>
  </w:style>
  <w:style w:type="paragraph" w:styleId="Header">
    <w:name w:val="header"/>
    <w:basedOn w:val="Normal"/>
    <w:link w:val="HeaderChar"/>
    <w:rsid w:val="001B17EF"/>
    <w:pPr>
      <w:tabs>
        <w:tab w:val="center" w:pos="4320"/>
        <w:tab w:val="right" w:pos="8640"/>
      </w:tabs>
    </w:pPr>
    <w:rPr>
      <w:rFonts w:eastAsia="Times New Roman"/>
    </w:rPr>
  </w:style>
  <w:style w:type="character" w:customStyle="1" w:styleId="HeaderChar">
    <w:name w:val="Header Char"/>
    <w:basedOn w:val="DefaultParagraphFont"/>
    <w:link w:val="Header"/>
    <w:rsid w:val="001B17EF"/>
    <w:rPr>
      <w:rFonts w:ascii="Times New Roman" w:eastAsia="Times New Roman" w:hAnsi="Times New Roman" w:cs="Times New Roman"/>
      <w:sz w:val="20"/>
      <w:szCs w:val="20"/>
    </w:rPr>
  </w:style>
  <w:style w:type="character" w:styleId="PageNumber">
    <w:name w:val="page number"/>
    <w:basedOn w:val="DefaultParagraphFont"/>
    <w:uiPriority w:val="99"/>
    <w:rsid w:val="001B17EF"/>
  </w:style>
  <w:style w:type="table" w:styleId="TableGrid">
    <w:name w:val="Table Grid"/>
    <w:basedOn w:val="TableNormal"/>
    <w:uiPriority w:val="59"/>
    <w:rsid w:val="001B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17EF"/>
    <w:pPr>
      <w:spacing w:before="100" w:beforeAutospacing="1" w:after="100" w:afterAutospacing="1"/>
    </w:pPr>
    <w:rPr>
      <w:rFonts w:ascii="Times" w:eastAsiaTheme="minorEastAsia" w:hAnsi="Times"/>
    </w:rPr>
  </w:style>
  <w:style w:type="character" w:styleId="LineNumber">
    <w:name w:val="line number"/>
    <w:basedOn w:val="DefaultParagraphFont"/>
    <w:uiPriority w:val="99"/>
    <w:semiHidden/>
    <w:unhideWhenUsed/>
    <w:rsid w:val="001B17EF"/>
  </w:style>
  <w:style w:type="paragraph" w:styleId="BalloonText">
    <w:name w:val="Balloon Text"/>
    <w:basedOn w:val="Normal"/>
    <w:link w:val="BalloonTextChar"/>
    <w:uiPriority w:val="99"/>
    <w:semiHidden/>
    <w:unhideWhenUsed/>
    <w:rsid w:val="001B1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7EF"/>
    <w:rPr>
      <w:rFonts w:ascii="Lucida Grande" w:eastAsia="Calibri" w:hAnsi="Lucida Grande" w:cs="Lucida Grande"/>
      <w:sz w:val="18"/>
      <w:szCs w:val="18"/>
    </w:rPr>
  </w:style>
  <w:style w:type="paragraph" w:styleId="ListParagraph">
    <w:name w:val="List Paragraph"/>
    <w:basedOn w:val="Normal"/>
    <w:uiPriority w:val="34"/>
    <w:qFormat/>
    <w:rsid w:val="00F81766"/>
    <w:pPr>
      <w:ind w:left="720"/>
      <w:contextualSpacing/>
    </w:pPr>
  </w:style>
  <w:style w:type="character" w:styleId="CommentReference">
    <w:name w:val="annotation reference"/>
    <w:basedOn w:val="DefaultParagraphFont"/>
    <w:uiPriority w:val="99"/>
    <w:semiHidden/>
    <w:unhideWhenUsed/>
    <w:rsid w:val="00AE735C"/>
    <w:rPr>
      <w:sz w:val="18"/>
      <w:szCs w:val="18"/>
    </w:rPr>
  </w:style>
  <w:style w:type="paragraph" w:styleId="CommentText">
    <w:name w:val="annotation text"/>
    <w:basedOn w:val="Normal"/>
    <w:link w:val="CommentTextChar"/>
    <w:uiPriority w:val="99"/>
    <w:semiHidden/>
    <w:unhideWhenUsed/>
    <w:rsid w:val="00AE735C"/>
    <w:rPr>
      <w:sz w:val="24"/>
      <w:szCs w:val="24"/>
    </w:rPr>
  </w:style>
  <w:style w:type="character" w:customStyle="1" w:styleId="CommentTextChar">
    <w:name w:val="Comment Text Char"/>
    <w:basedOn w:val="DefaultParagraphFont"/>
    <w:link w:val="CommentText"/>
    <w:uiPriority w:val="99"/>
    <w:semiHidden/>
    <w:rsid w:val="00AE735C"/>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AE735C"/>
    <w:rPr>
      <w:b/>
      <w:bCs/>
      <w:sz w:val="20"/>
      <w:szCs w:val="20"/>
    </w:rPr>
  </w:style>
  <w:style w:type="character" w:customStyle="1" w:styleId="CommentSubjectChar">
    <w:name w:val="Comment Subject Char"/>
    <w:basedOn w:val="CommentTextChar"/>
    <w:link w:val="CommentSubject"/>
    <w:uiPriority w:val="99"/>
    <w:semiHidden/>
    <w:rsid w:val="00AE735C"/>
    <w:rPr>
      <w:rFonts w:ascii="Times New Roman" w:eastAsia="Calibri" w:hAnsi="Times New Roman" w:cs="Times New Roman"/>
      <w:b/>
      <w:bCs/>
      <w:sz w:val="20"/>
      <w:szCs w:val="20"/>
    </w:rPr>
  </w:style>
  <w:style w:type="paragraph" w:styleId="Revision">
    <w:name w:val="Revision"/>
    <w:hidden/>
    <w:uiPriority w:val="99"/>
    <w:semiHidden/>
    <w:rsid w:val="004A342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8035">
      <w:bodyDiv w:val="1"/>
      <w:marLeft w:val="0"/>
      <w:marRight w:val="0"/>
      <w:marTop w:val="0"/>
      <w:marBottom w:val="0"/>
      <w:divBdr>
        <w:top w:val="none" w:sz="0" w:space="0" w:color="auto"/>
        <w:left w:val="none" w:sz="0" w:space="0" w:color="auto"/>
        <w:bottom w:val="none" w:sz="0" w:space="0" w:color="auto"/>
        <w:right w:val="none" w:sz="0" w:space="0" w:color="auto"/>
      </w:divBdr>
    </w:div>
    <w:div w:id="878975935">
      <w:bodyDiv w:val="1"/>
      <w:marLeft w:val="0"/>
      <w:marRight w:val="0"/>
      <w:marTop w:val="0"/>
      <w:marBottom w:val="0"/>
      <w:divBdr>
        <w:top w:val="none" w:sz="0" w:space="0" w:color="auto"/>
        <w:left w:val="none" w:sz="0" w:space="0" w:color="auto"/>
        <w:bottom w:val="none" w:sz="0" w:space="0" w:color="auto"/>
        <w:right w:val="none" w:sz="0" w:space="0" w:color="auto"/>
      </w:divBdr>
      <w:divsChild>
        <w:div w:id="27073938">
          <w:marLeft w:val="0"/>
          <w:marRight w:val="0"/>
          <w:marTop w:val="0"/>
          <w:marBottom w:val="0"/>
          <w:divBdr>
            <w:top w:val="none" w:sz="0" w:space="0" w:color="auto"/>
            <w:left w:val="none" w:sz="0" w:space="0" w:color="auto"/>
            <w:bottom w:val="none" w:sz="0" w:space="0" w:color="auto"/>
            <w:right w:val="none" w:sz="0" w:space="0" w:color="auto"/>
          </w:divBdr>
        </w:div>
        <w:div w:id="1511488741">
          <w:marLeft w:val="0"/>
          <w:marRight w:val="0"/>
          <w:marTop w:val="0"/>
          <w:marBottom w:val="0"/>
          <w:divBdr>
            <w:top w:val="none" w:sz="0" w:space="0" w:color="auto"/>
            <w:left w:val="none" w:sz="0" w:space="0" w:color="auto"/>
            <w:bottom w:val="none" w:sz="0" w:space="0" w:color="auto"/>
            <w:right w:val="none" w:sz="0" w:space="0" w:color="auto"/>
          </w:divBdr>
          <w:divsChild>
            <w:div w:id="1591306024">
              <w:marLeft w:val="0"/>
              <w:marRight w:val="0"/>
              <w:marTop w:val="0"/>
              <w:marBottom w:val="0"/>
              <w:divBdr>
                <w:top w:val="none" w:sz="0" w:space="0" w:color="auto"/>
                <w:left w:val="none" w:sz="0" w:space="0" w:color="auto"/>
                <w:bottom w:val="none" w:sz="0" w:space="0" w:color="auto"/>
                <w:right w:val="none" w:sz="0" w:space="0" w:color="auto"/>
              </w:divBdr>
              <w:divsChild>
                <w:div w:id="324208512">
                  <w:marLeft w:val="0"/>
                  <w:marRight w:val="0"/>
                  <w:marTop w:val="0"/>
                  <w:marBottom w:val="0"/>
                  <w:divBdr>
                    <w:top w:val="none" w:sz="0" w:space="0" w:color="auto"/>
                    <w:left w:val="none" w:sz="0" w:space="0" w:color="auto"/>
                    <w:bottom w:val="none" w:sz="0" w:space="0" w:color="auto"/>
                    <w:right w:val="none" w:sz="0" w:space="0" w:color="auto"/>
                  </w:divBdr>
                  <w:divsChild>
                    <w:div w:id="1890723604">
                      <w:marLeft w:val="0"/>
                      <w:marRight w:val="0"/>
                      <w:marTop w:val="0"/>
                      <w:marBottom w:val="0"/>
                      <w:divBdr>
                        <w:top w:val="none" w:sz="0" w:space="0" w:color="auto"/>
                        <w:left w:val="none" w:sz="0" w:space="0" w:color="auto"/>
                        <w:bottom w:val="none" w:sz="0" w:space="0" w:color="auto"/>
                        <w:right w:val="none" w:sz="0" w:space="0" w:color="auto"/>
                      </w:divBdr>
                      <w:divsChild>
                        <w:div w:id="696542606">
                          <w:marLeft w:val="0"/>
                          <w:marRight w:val="0"/>
                          <w:marTop w:val="0"/>
                          <w:marBottom w:val="0"/>
                          <w:divBdr>
                            <w:top w:val="none" w:sz="0" w:space="0" w:color="auto"/>
                            <w:left w:val="none" w:sz="0" w:space="0" w:color="auto"/>
                            <w:bottom w:val="none" w:sz="0" w:space="0" w:color="auto"/>
                            <w:right w:val="none" w:sz="0" w:space="0" w:color="auto"/>
                          </w:divBdr>
                          <w:divsChild>
                            <w:div w:id="5796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11411</Words>
  <Characters>65043</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 Johnson</dc:creator>
  <cp:lastModifiedBy>Winifred Johnson</cp:lastModifiedBy>
  <cp:revision>4</cp:revision>
  <cp:lastPrinted>2015-10-14T14:26:00Z</cp:lastPrinted>
  <dcterms:created xsi:type="dcterms:W3CDTF">2015-12-17T23:37:00Z</dcterms:created>
  <dcterms:modified xsi:type="dcterms:W3CDTF">2015-12-17T23:50:00Z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wjohnson@whoi.edu@www.mendeley.com</vt:lpwstr>
  </property>
  <property fmtid="{D5CDD505-2E9C-101B-9397-08002B2CF9AE}" pid="4" name="Mendeley Citation Style_1">
    <vt:lpwstr>http://www.zotero.org/styles/the-isme-journal</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http://www.zotero.org/styles/the-isme-journal</vt:lpwstr>
  </property>
  <property fmtid="{D5CDD505-2E9C-101B-9397-08002B2CF9AE}" pid="24" name="Mendeley Recent Style Name 9_1">
    <vt:lpwstr>The ISME Journal</vt:lpwstr>
  </property>
</Properties>
</file>