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CA" w:rsidRPr="008473CA" w:rsidRDefault="00104B20" w:rsidP="008473CA">
      <w:pPr>
        <w:spacing w:after="0" w:line="480" w:lineRule="auto"/>
        <w:rPr>
          <w:rFonts w:ascii="Times New Roman" w:eastAsia="Times New Roman" w:hAnsi="Times New Roman" w:cs="Times New Roman"/>
          <w:noProof/>
          <w:sz w:val="24"/>
          <w:szCs w:val="24"/>
          <w:lang w:eastAsia="en-US"/>
        </w:rPr>
      </w:pPr>
      <w:r>
        <w:rPr>
          <w:rFonts w:ascii="Times New Roman" w:eastAsia="Times New Roman" w:hAnsi="Times New Roman" w:cs="Times New Roman"/>
          <w:sz w:val="24"/>
          <w:szCs w:val="24"/>
          <w:lang w:eastAsia="en-US"/>
        </w:rPr>
        <w:t>Table</w:t>
      </w:r>
      <w:r w:rsidR="008473CA" w:rsidRPr="008473CA">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S</w:t>
      </w:r>
      <w:r w:rsidR="008473CA" w:rsidRPr="008473CA">
        <w:rPr>
          <w:rFonts w:ascii="Times New Roman" w:eastAsia="Times New Roman" w:hAnsi="Times New Roman" w:cs="Times New Roman"/>
          <w:sz w:val="24"/>
          <w:szCs w:val="24"/>
          <w:lang w:eastAsia="en-US"/>
        </w:rPr>
        <w:t>1 Regression analysis between copepod abundance and alongshore transport in four different sub-regions: the Gulf of Maine (GOM), Georges Bank (GB), Southern New English (SNE) and Middle Atlantic Bight (MAB). The predictor variable is annual mean alongshore velocities and the response variable is the log-transformed peak abundance for two copepod species.</w:t>
      </w:r>
    </w:p>
    <w:tbl>
      <w:tblPr>
        <w:tblStyle w:val="TableGrid"/>
        <w:tblW w:w="0" w:type="auto"/>
        <w:tblLook w:val="04A0" w:firstRow="1" w:lastRow="0" w:firstColumn="1" w:lastColumn="0" w:noHBand="0" w:noVBand="1"/>
      </w:tblPr>
      <w:tblGrid>
        <w:gridCol w:w="3192"/>
        <w:gridCol w:w="3192"/>
        <w:gridCol w:w="3192"/>
      </w:tblGrid>
      <w:tr w:rsidR="008473CA" w:rsidRPr="008473CA" w:rsidTr="00A711D9">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sz w:val="24"/>
                <w:szCs w:val="24"/>
                <w:lang w:eastAsia="en-US"/>
              </w:rPr>
              <w:t>Region</w:t>
            </w:r>
          </w:p>
        </w:tc>
        <w:tc>
          <w:tcPr>
            <w:tcW w:w="3192" w:type="dxa"/>
          </w:tcPr>
          <w:p w:rsidR="008473CA" w:rsidRPr="008473CA" w:rsidRDefault="008473CA" w:rsidP="008473CA">
            <w:pPr>
              <w:spacing w:line="480" w:lineRule="auto"/>
              <w:rPr>
                <w:rFonts w:ascii="Times New Roman" w:eastAsia="Times New Roman" w:hAnsi="Times New Roman"/>
                <w:i/>
                <w:sz w:val="24"/>
                <w:szCs w:val="24"/>
                <w:lang w:eastAsia="en-US"/>
              </w:rPr>
            </w:pPr>
            <w:proofErr w:type="spellStart"/>
            <w:r w:rsidRPr="008473CA">
              <w:rPr>
                <w:rFonts w:ascii="Times New Roman" w:eastAsia="Times New Roman" w:hAnsi="Times New Roman"/>
                <w:i/>
                <w:sz w:val="24"/>
                <w:szCs w:val="24"/>
                <w:lang w:eastAsia="en-US"/>
              </w:rPr>
              <w:t>Calanus</w:t>
            </w:r>
            <w:proofErr w:type="spellEnd"/>
            <w:r w:rsidRPr="008473CA">
              <w:rPr>
                <w:rFonts w:ascii="Times New Roman" w:eastAsia="Times New Roman" w:hAnsi="Times New Roman"/>
                <w:i/>
                <w:sz w:val="24"/>
                <w:szCs w:val="24"/>
                <w:lang w:eastAsia="en-US"/>
              </w:rPr>
              <w:t xml:space="preserve"> finmarchicus </w:t>
            </w:r>
          </w:p>
        </w:tc>
        <w:tc>
          <w:tcPr>
            <w:tcW w:w="3192" w:type="dxa"/>
          </w:tcPr>
          <w:p w:rsidR="008473CA" w:rsidRPr="008473CA" w:rsidRDefault="008473CA" w:rsidP="008473CA">
            <w:pPr>
              <w:spacing w:line="480" w:lineRule="auto"/>
              <w:rPr>
                <w:rFonts w:ascii="Times New Roman" w:eastAsia="Times New Roman" w:hAnsi="Times New Roman"/>
                <w:i/>
                <w:sz w:val="24"/>
                <w:szCs w:val="24"/>
                <w:lang w:eastAsia="en-US"/>
              </w:rPr>
            </w:pPr>
            <w:proofErr w:type="spellStart"/>
            <w:r w:rsidRPr="008473CA">
              <w:rPr>
                <w:rFonts w:ascii="Times New Roman" w:eastAsia="Times New Roman" w:hAnsi="Times New Roman"/>
                <w:i/>
                <w:sz w:val="24"/>
                <w:szCs w:val="24"/>
                <w:lang w:eastAsia="en-US"/>
              </w:rPr>
              <w:t>Centropages</w:t>
            </w:r>
            <w:proofErr w:type="spellEnd"/>
            <w:r w:rsidRPr="008473CA">
              <w:rPr>
                <w:rFonts w:ascii="Times New Roman" w:eastAsia="Times New Roman" w:hAnsi="Times New Roman"/>
                <w:i/>
                <w:sz w:val="24"/>
                <w:szCs w:val="24"/>
                <w:lang w:eastAsia="en-US"/>
              </w:rPr>
              <w:t xml:space="preserve"> typicus</w:t>
            </w:r>
          </w:p>
        </w:tc>
      </w:tr>
      <w:tr w:rsidR="008473CA" w:rsidRPr="008473CA" w:rsidTr="00A711D9">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sz w:val="24"/>
                <w:szCs w:val="24"/>
                <w:lang w:eastAsia="en-US"/>
              </w:rPr>
              <w:t>Entire region</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y=5.73-0.12*x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0.35,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&lt; 0.01</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y=6.25-0.01*x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0.01,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0.88</w:t>
            </w:r>
          </w:p>
        </w:tc>
      </w:tr>
      <w:tr w:rsidR="008473CA" w:rsidRPr="008473CA" w:rsidTr="00A711D9">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sz w:val="24"/>
                <w:szCs w:val="24"/>
                <w:lang w:eastAsia="en-US"/>
              </w:rPr>
              <w:t>GOM</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y=6.16-0.07*x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0.06,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0.35</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y=5.74-0.04*x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0.01,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0.80</w:t>
            </w:r>
          </w:p>
        </w:tc>
      </w:tr>
      <w:tr w:rsidR="008473CA" w:rsidRPr="008473CA" w:rsidTr="00A711D9">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sz w:val="24"/>
                <w:szCs w:val="24"/>
                <w:lang w:eastAsia="en-US"/>
              </w:rPr>
              <w:t>GB</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y=6.01-0.08*x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0.07,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0.32</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y=6.11-0.01*x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0.01,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0.88</w:t>
            </w:r>
          </w:p>
        </w:tc>
      </w:tr>
      <w:tr w:rsidR="008473CA" w:rsidRPr="008473CA" w:rsidTr="00A711D9">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sz w:val="24"/>
                <w:szCs w:val="24"/>
                <w:lang w:eastAsia="en-US"/>
              </w:rPr>
              <w:t>SNE</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y=5.49-0.21*x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0.20,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=0.05</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y=6.58+0.09*x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0.07,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0.29</w:t>
            </w:r>
          </w:p>
        </w:tc>
      </w:tr>
      <w:tr w:rsidR="008473CA" w:rsidRPr="008473CA" w:rsidTr="00A711D9">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sz w:val="24"/>
                <w:szCs w:val="24"/>
                <w:lang w:eastAsia="en-US"/>
              </w:rPr>
              <w:t>MAB</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y=4.04-0.28*x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0.18,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0.07</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y=6.95-0.04*x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0.02,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0.60</w:t>
            </w:r>
          </w:p>
        </w:tc>
      </w:tr>
    </w:tbl>
    <w:p w:rsidR="008473CA" w:rsidRPr="008473CA" w:rsidRDefault="008473CA" w:rsidP="008473CA">
      <w:pPr>
        <w:spacing w:line="480" w:lineRule="auto"/>
        <w:rPr>
          <w:rFonts w:ascii="Times New Roman" w:eastAsia="Times New Roman" w:hAnsi="Times New Roman" w:cs="Times New Roman"/>
          <w:sz w:val="24"/>
          <w:szCs w:val="24"/>
          <w:lang w:eastAsia="en-US"/>
        </w:rPr>
      </w:pPr>
    </w:p>
    <w:p w:rsidR="008473CA" w:rsidRPr="008473CA" w:rsidRDefault="008473CA" w:rsidP="008473CA">
      <w:pPr>
        <w:spacing w:line="480" w:lineRule="auto"/>
        <w:rPr>
          <w:rFonts w:ascii="Times New Roman" w:eastAsia="Times New Roman" w:hAnsi="Times New Roman" w:cs="Times New Roman"/>
          <w:sz w:val="24"/>
          <w:szCs w:val="24"/>
          <w:lang w:eastAsia="en-US"/>
        </w:rPr>
      </w:pPr>
      <w:r w:rsidRPr="008473CA">
        <w:rPr>
          <w:rFonts w:ascii="Times New Roman" w:eastAsia="Times New Roman" w:hAnsi="Times New Roman" w:cs="Times New Roman"/>
          <w:sz w:val="24"/>
          <w:szCs w:val="24"/>
          <w:lang w:eastAsia="en-US"/>
        </w:rPr>
        <w:br w:type="page"/>
      </w:r>
    </w:p>
    <w:p w:rsidR="008473CA" w:rsidRPr="008473CA" w:rsidRDefault="00104B20" w:rsidP="008473CA">
      <w:pPr>
        <w:spacing w:line="480" w:lineRule="auto"/>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lastRenderedPageBreak/>
        <w:t>Table</w:t>
      </w:r>
      <w:r w:rsidR="008473CA" w:rsidRPr="008473CA">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S</w:t>
      </w:r>
      <w:r w:rsidR="008473CA" w:rsidRPr="008473CA">
        <w:rPr>
          <w:rFonts w:ascii="Times New Roman" w:eastAsia="Times New Roman" w:hAnsi="Times New Roman" w:cs="Times New Roman"/>
          <w:sz w:val="24"/>
          <w:szCs w:val="24"/>
          <w:lang w:eastAsia="en-US"/>
        </w:rPr>
        <w:t>2 Regression analysis between copepod abundance and the Gulf Stream north wall index (GSNWI) in four different sub-regions: the Gulf of Maine (GOM), Georges Bank (GB), Southern New English (SNE) and Middle Atlantic Bight (MAB).</w:t>
      </w:r>
      <w:proofErr w:type="gramEnd"/>
      <w:r w:rsidR="008473CA" w:rsidRPr="008473CA">
        <w:rPr>
          <w:rFonts w:ascii="Times New Roman" w:eastAsia="Times New Roman" w:hAnsi="Times New Roman" w:cs="Times New Roman"/>
          <w:sz w:val="24"/>
          <w:szCs w:val="24"/>
          <w:lang w:eastAsia="en-US"/>
        </w:rPr>
        <w:t xml:space="preserve"> The predictor variable is annual mean GSNWI and the response variable is the log-transformed peak abundance for two copepod species.</w:t>
      </w:r>
    </w:p>
    <w:tbl>
      <w:tblPr>
        <w:tblStyle w:val="TableGrid"/>
        <w:tblW w:w="0" w:type="auto"/>
        <w:tblLook w:val="04A0" w:firstRow="1" w:lastRow="0" w:firstColumn="1" w:lastColumn="0" w:noHBand="0" w:noVBand="1"/>
      </w:tblPr>
      <w:tblGrid>
        <w:gridCol w:w="3192"/>
        <w:gridCol w:w="3192"/>
        <w:gridCol w:w="3192"/>
      </w:tblGrid>
      <w:tr w:rsidR="008473CA" w:rsidRPr="008473CA" w:rsidTr="00A711D9">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sz w:val="24"/>
                <w:szCs w:val="24"/>
                <w:lang w:eastAsia="en-US"/>
              </w:rPr>
              <w:t>Region</w:t>
            </w:r>
          </w:p>
        </w:tc>
        <w:tc>
          <w:tcPr>
            <w:tcW w:w="3192" w:type="dxa"/>
          </w:tcPr>
          <w:p w:rsidR="008473CA" w:rsidRPr="008473CA" w:rsidRDefault="008473CA" w:rsidP="008473CA">
            <w:pPr>
              <w:spacing w:line="480" w:lineRule="auto"/>
              <w:rPr>
                <w:rFonts w:ascii="Times New Roman" w:eastAsia="Times New Roman" w:hAnsi="Times New Roman"/>
                <w:i/>
                <w:sz w:val="24"/>
                <w:szCs w:val="24"/>
                <w:lang w:eastAsia="en-US"/>
              </w:rPr>
            </w:pPr>
            <w:proofErr w:type="spellStart"/>
            <w:r w:rsidRPr="008473CA">
              <w:rPr>
                <w:rFonts w:ascii="Times New Roman" w:eastAsia="Times New Roman" w:hAnsi="Times New Roman"/>
                <w:i/>
                <w:sz w:val="24"/>
                <w:szCs w:val="24"/>
                <w:lang w:eastAsia="en-US"/>
              </w:rPr>
              <w:t>Calanus</w:t>
            </w:r>
            <w:proofErr w:type="spellEnd"/>
            <w:r w:rsidRPr="008473CA">
              <w:rPr>
                <w:rFonts w:ascii="Times New Roman" w:eastAsia="Times New Roman" w:hAnsi="Times New Roman"/>
                <w:i/>
                <w:sz w:val="24"/>
                <w:szCs w:val="24"/>
                <w:lang w:eastAsia="en-US"/>
              </w:rPr>
              <w:t xml:space="preserve"> finmarchicus </w:t>
            </w:r>
          </w:p>
        </w:tc>
        <w:tc>
          <w:tcPr>
            <w:tcW w:w="3192" w:type="dxa"/>
          </w:tcPr>
          <w:p w:rsidR="008473CA" w:rsidRPr="008473CA" w:rsidRDefault="008473CA" w:rsidP="008473CA">
            <w:pPr>
              <w:spacing w:line="480" w:lineRule="auto"/>
              <w:rPr>
                <w:rFonts w:ascii="Times New Roman" w:eastAsia="Times New Roman" w:hAnsi="Times New Roman"/>
                <w:i/>
                <w:sz w:val="24"/>
                <w:szCs w:val="24"/>
                <w:lang w:eastAsia="en-US"/>
              </w:rPr>
            </w:pPr>
            <w:proofErr w:type="spellStart"/>
            <w:r w:rsidRPr="008473CA">
              <w:rPr>
                <w:rFonts w:ascii="Times New Roman" w:eastAsia="Times New Roman" w:hAnsi="Times New Roman"/>
                <w:i/>
                <w:sz w:val="24"/>
                <w:szCs w:val="24"/>
                <w:lang w:eastAsia="en-US"/>
              </w:rPr>
              <w:t>Centropages</w:t>
            </w:r>
            <w:proofErr w:type="spellEnd"/>
            <w:r w:rsidRPr="008473CA">
              <w:rPr>
                <w:rFonts w:ascii="Times New Roman" w:eastAsia="Times New Roman" w:hAnsi="Times New Roman"/>
                <w:i/>
                <w:sz w:val="24"/>
                <w:szCs w:val="24"/>
                <w:lang w:eastAsia="en-US"/>
              </w:rPr>
              <w:t xml:space="preserve"> typicus</w:t>
            </w:r>
          </w:p>
        </w:tc>
      </w:tr>
      <w:tr w:rsidR="008473CA" w:rsidRPr="008473CA" w:rsidTr="00A711D9">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sz w:val="24"/>
                <w:szCs w:val="24"/>
                <w:lang w:eastAsia="en-US"/>
              </w:rPr>
              <w:t>Entire region</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y=5.95-0.08*x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0.02,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0.38</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y=6.26+0.07*x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0.03,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0.37</w:t>
            </w:r>
          </w:p>
        </w:tc>
      </w:tr>
      <w:tr w:rsidR="008473CA" w:rsidRPr="008473CA" w:rsidTr="00A711D9">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sz w:val="24"/>
                <w:szCs w:val="24"/>
                <w:lang w:eastAsia="en-US"/>
              </w:rPr>
              <w:t>GOM</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y=6.15-0.10*x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0.02,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0.48</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y=5.89+0.30*x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0.12,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0.05</w:t>
            </w:r>
          </w:p>
        </w:tc>
      </w:tr>
      <w:tr w:rsidR="008473CA" w:rsidRPr="008473CA" w:rsidTr="00A711D9">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sz w:val="24"/>
                <w:szCs w:val="24"/>
                <w:lang w:eastAsia="en-US"/>
              </w:rPr>
              <w:t>GB</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y=6.20-0.14*x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0.05,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0.22</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y=5.99+0.32*x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0.15,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0.02</w:t>
            </w:r>
          </w:p>
        </w:tc>
      </w:tr>
      <w:tr w:rsidR="008473CA" w:rsidRPr="008473CA" w:rsidTr="00A711D9">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sz w:val="24"/>
                <w:szCs w:val="24"/>
                <w:lang w:eastAsia="en-US"/>
              </w:rPr>
              <w:t>SNE</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y=5.78-0.07*x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0.01,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0.73</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y=6.46+0.10*x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0.04,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0.28</w:t>
            </w:r>
          </w:p>
        </w:tc>
      </w:tr>
      <w:tr w:rsidR="008473CA" w:rsidRPr="008473CA" w:rsidTr="00A711D9">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sz w:val="24"/>
                <w:szCs w:val="24"/>
                <w:lang w:eastAsia="en-US"/>
              </w:rPr>
              <w:t>MAB</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y=4.64-0.55*x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0.19,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0.01</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y=6.79+0.02*x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0.01,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0.86</w:t>
            </w:r>
          </w:p>
        </w:tc>
      </w:tr>
    </w:tbl>
    <w:p w:rsidR="008473CA" w:rsidRPr="008473CA" w:rsidRDefault="008473CA" w:rsidP="008473CA">
      <w:pPr>
        <w:spacing w:line="480" w:lineRule="auto"/>
        <w:rPr>
          <w:rFonts w:ascii="Times New Roman" w:eastAsia="Times New Roman" w:hAnsi="Times New Roman" w:cs="Times New Roman"/>
          <w:sz w:val="24"/>
          <w:szCs w:val="24"/>
          <w:lang w:eastAsia="en-US"/>
        </w:rPr>
      </w:pPr>
    </w:p>
    <w:p w:rsidR="008473CA" w:rsidRPr="008473CA" w:rsidRDefault="008473CA" w:rsidP="008473CA">
      <w:pPr>
        <w:spacing w:line="480" w:lineRule="auto"/>
        <w:rPr>
          <w:rFonts w:ascii="Times New Roman" w:eastAsia="Times New Roman" w:hAnsi="Times New Roman" w:cs="Times New Roman"/>
          <w:sz w:val="24"/>
          <w:szCs w:val="24"/>
          <w:lang w:eastAsia="en-US"/>
        </w:rPr>
      </w:pPr>
      <w:r w:rsidRPr="008473CA">
        <w:rPr>
          <w:rFonts w:ascii="Times New Roman" w:eastAsia="Times New Roman" w:hAnsi="Times New Roman" w:cs="Times New Roman"/>
          <w:sz w:val="24"/>
          <w:szCs w:val="24"/>
          <w:lang w:eastAsia="en-US"/>
        </w:rPr>
        <w:br w:type="page"/>
      </w:r>
    </w:p>
    <w:p w:rsidR="008473CA" w:rsidRPr="008473CA" w:rsidRDefault="00104B20" w:rsidP="008473CA">
      <w:pPr>
        <w:spacing w:line="480" w:lineRule="auto"/>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lastRenderedPageBreak/>
        <w:t>Table</w:t>
      </w:r>
      <w:r w:rsidR="008473CA" w:rsidRPr="008473CA">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S</w:t>
      </w:r>
      <w:r w:rsidR="008473CA" w:rsidRPr="008473CA">
        <w:rPr>
          <w:rFonts w:ascii="Times New Roman" w:eastAsia="Times New Roman" w:hAnsi="Times New Roman" w:cs="Times New Roman"/>
          <w:sz w:val="24"/>
          <w:szCs w:val="24"/>
          <w:lang w:eastAsia="en-US"/>
        </w:rPr>
        <w:t>3 Regression analysis between copepod abundance and local temperature in four different sub-regions: the Gulf of Maine (GOM), Georges Bank (GB), Southern New English (SNE) and Middle Atlantic Bight (MAB).</w:t>
      </w:r>
      <w:proofErr w:type="gramEnd"/>
      <w:r w:rsidR="008473CA" w:rsidRPr="008473CA">
        <w:rPr>
          <w:rFonts w:ascii="Times New Roman" w:eastAsia="Times New Roman" w:hAnsi="Times New Roman" w:cs="Times New Roman"/>
          <w:sz w:val="24"/>
          <w:szCs w:val="24"/>
          <w:lang w:eastAsia="en-US"/>
        </w:rPr>
        <w:t xml:space="preserve"> The predictor variable is annual mean temperature and the response variable is the lo</w:t>
      </w:r>
      <w:bookmarkStart w:id="0" w:name="_GoBack"/>
      <w:bookmarkEnd w:id="0"/>
      <w:r w:rsidR="008473CA" w:rsidRPr="008473CA">
        <w:rPr>
          <w:rFonts w:ascii="Times New Roman" w:eastAsia="Times New Roman" w:hAnsi="Times New Roman" w:cs="Times New Roman"/>
          <w:sz w:val="24"/>
          <w:szCs w:val="24"/>
          <w:lang w:eastAsia="en-US"/>
        </w:rPr>
        <w:t>g-transformed peak abundance for two copepod species.</w:t>
      </w:r>
    </w:p>
    <w:tbl>
      <w:tblPr>
        <w:tblStyle w:val="TableGrid"/>
        <w:tblW w:w="0" w:type="auto"/>
        <w:tblLook w:val="04A0" w:firstRow="1" w:lastRow="0" w:firstColumn="1" w:lastColumn="0" w:noHBand="0" w:noVBand="1"/>
      </w:tblPr>
      <w:tblGrid>
        <w:gridCol w:w="3192"/>
        <w:gridCol w:w="3192"/>
        <w:gridCol w:w="3192"/>
      </w:tblGrid>
      <w:tr w:rsidR="008473CA" w:rsidRPr="008473CA" w:rsidTr="00A711D9">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sz w:val="24"/>
                <w:szCs w:val="24"/>
                <w:lang w:eastAsia="en-US"/>
              </w:rPr>
              <w:t>Region</w:t>
            </w:r>
          </w:p>
        </w:tc>
        <w:tc>
          <w:tcPr>
            <w:tcW w:w="3192" w:type="dxa"/>
          </w:tcPr>
          <w:p w:rsidR="008473CA" w:rsidRPr="008473CA" w:rsidRDefault="008473CA" w:rsidP="008473CA">
            <w:pPr>
              <w:spacing w:line="480" w:lineRule="auto"/>
              <w:rPr>
                <w:rFonts w:ascii="Times New Roman" w:eastAsia="Times New Roman" w:hAnsi="Times New Roman"/>
                <w:i/>
                <w:sz w:val="24"/>
                <w:szCs w:val="24"/>
                <w:lang w:eastAsia="en-US"/>
              </w:rPr>
            </w:pPr>
            <w:proofErr w:type="spellStart"/>
            <w:r w:rsidRPr="008473CA">
              <w:rPr>
                <w:rFonts w:ascii="Times New Roman" w:eastAsia="Times New Roman" w:hAnsi="Times New Roman"/>
                <w:i/>
                <w:sz w:val="24"/>
                <w:szCs w:val="24"/>
                <w:lang w:eastAsia="en-US"/>
              </w:rPr>
              <w:t>Calanus</w:t>
            </w:r>
            <w:proofErr w:type="spellEnd"/>
            <w:r w:rsidRPr="008473CA">
              <w:rPr>
                <w:rFonts w:ascii="Times New Roman" w:eastAsia="Times New Roman" w:hAnsi="Times New Roman"/>
                <w:i/>
                <w:sz w:val="24"/>
                <w:szCs w:val="24"/>
                <w:lang w:eastAsia="en-US"/>
              </w:rPr>
              <w:t xml:space="preserve"> finmarchicus </w:t>
            </w:r>
          </w:p>
        </w:tc>
        <w:tc>
          <w:tcPr>
            <w:tcW w:w="3192" w:type="dxa"/>
          </w:tcPr>
          <w:p w:rsidR="008473CA" w:rsidRPr="008473CA" w:rsidRDefault="008473CA" w:rsidP="008473CA">
            <w:pPr>
              <w:spacing w:line="480" w:lineRule="auto"/>
              <w:rPr>
                <w:rFonts w:ascii="Times New Roman" w:eastAsia="Times New Roman" w:hAnsi="Times New Roman"/>
                <w:i/>
                <w:sz w:val="24"/>
                <w:szCs w:val="24"/>
                <w:lang w:eastAsia="en-US"/>
              </w:rPr>
            </w:pPr>
            <w:proofErr w:type="spellStart"/>
            <w:r w:rsidRPr="008473CA">
              <w:rPr>
                <w:rFonts w:ascii="Times New Roman" w:eastAsia="Times New Roman" w:hAnsi="Times New Roman"/>
                <w:i/>
                <w:sz w:val="24"/>
                <w:szCs w:val="24"/>
                <w:lang w:eastAsia="en-US"/>
              </w:rPr>
              <w:t>Centropages</w:t>
            </w:r>
            <w:proofErr w:type="spellEnd"/>
            <w:r w:rsidRPr="008473CA">
              <w:rPr>
                <w:rFonts w:ascii="Times New Roman" w:eastAsia="Times New Roman" w:hAnsi="Times New Roman"/>
                <w:i/>
                <w:sz w:val="24"/>
                <w:szCs w:val="24"/>
                <w:lang w:eastAsia="en-US"/>
              </w:rPr>
              <w:t xml:space="preserve"> typicus</w:t>
            </w:r>
          </w:p>
        </w:tc>
      </w:tr>
      <w:tr w:rsidR="008473CA" w:rsidRPr="008473CA" w:rsidTr="00A711D9">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sz w:val="24"/>
                <w:szCs w:val="24"/>
                <w:lang w:eastAsia="en-US"/>
              </w:rPr>
              <w:t>Entire region</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y=4.07+0.08*x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0.07,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0.14</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y=5.59+0.01*x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0.01,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0.92</w:t>
            </w:r>
          </w:p>
        </w:tc>
      </w:tr>
      <w:tr w:rsidR="008473CA" w:rsidRPr="008473CA" w:rsidTr="00A711D9">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sz w:val="24"/>
                <w:szCs w:val="24"/>
                <w:lang w:eastAsia="en-US"/>
              </w:rPr>
              <w:t>GOM</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y=4.81+0.05*x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0.02,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0.30</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y=5.46-0.04*x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0.02,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0.61</w:t>
            </w:r>
          </w:p>
        </w:tc>
      </w:tr>
      <w:tr w:rsidR="008473CA" w:rsidRPr="008473CA" w:rsidTr="00A711D9">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sz w:val="24"/>
                <w:szCs w:val="24"/>
                <w:lang w:eastAsia="en-US"/>
              </w:rPr>
              <w:t>GB</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y=4.75+0.03*x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0.05,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0.29</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y=5.41-0.02*x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0.01,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0.60</w:t>
            </w:r>
          </w:p>
        </w:tc>
      </w:tr>
      <w:tr w:rsidR="008473CA" w:rsidRPr="008473CA" w:rsidTr="00A711D9">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sz w:val="24"/>
                <w:szCs w:val="24"/>
                <w:lang w:eastAsia="en-US"/>
              </w:rPr>
              <w:t>SNE</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y=5.06+0.03*x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0.01,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0.78</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y=5.32+0.04*x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0.02,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0.47</w:t>
            </w:r>
          </w:p>
        </w:tc>
      </w:tr>
      <w:tr w:rsidR="008473CA" w:rsidRPr="008473CA" w:rsidTr="00A711D9">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sz w:val="24"/>
                <w:szCs w:val="24"/>
                <w:lang w:eastAsia="en-US"/>
              </w:rPr>
              <w:t>MAB</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y=2.41+0.11*x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0.03,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0.39</w:t>
            </w:r>
          </w:p>
        </w:tc>
        <w:tc>
          <w:tcPr>
            <w:tcW w:w="3192" w:type="dxa"/>
          </w:tcPr>
          <w:p w:rsidR="008473CA" w:rsidRPr="008473CA" w:rsidRDefault="008473CA" w:rsidP="008473CA">
            <w:pPr>
              <w:spacing w:line="480" w:lineRule="auto"/>
              <w:rPr>
                <w:rFonts w:ascii="Times New Roman" w:eastAsia="Times New Roman" w:hAnsi="Times New Roman"/>
                <w:sz w:val="24"/>
                <w:szCs w:val="24"/>
                <w:lang w:eastAsia="en-US"/>
              </w:rPr>
            </w:pPr>
            <m:oMathPara>
              <m:oMathParaPr>
                <m:jc m:val="left"/>
              </m:oMathParaPr>
              <m:oMath>
                <m:r>
                  <w:rPr>
                    <w:rFonts w:ascii="Cambria Math" w:eastAsia="Times New Roman" w:hAnsi="Cambria Math"/>
                    <w:sz w:val="24"/>
                    <w:szCs w:val="24"/>
                    <w:lang w:eastAsia="en-US"/>
                  </w:rPr>
                  <m:t>y=6.17-0.01*x</m:t>
                </m:r>
              </m:oMath>
            </m:oMathPara>
          </w:p>
          <w:p w:rsidR="008473CA" w:rsidRPr="008473CA" w:rsidRDefault="008473CA" w:rsidP="008473CA">
            <w:pPr>
              <w:spacing w:line="480" w:lineRule="auto"/>
              <w:rPr>
                <w:rFonts w:ascii="Times New Roman" w:eastAsia="Times New Roman" w:hAnsi="Times New Roman"/>
                <w:sz w:val="24"/>
                <w:szCs w:val="24"/>
                <w:lang w:eastAsia="en-US"/>
              </w:rPr>
            </w:pPr>
            <w:r w:rsidRPr="008473CA">
              <w:rPr>
                <w:rFonts w:ascii="Times New Roman" w:eastAsia="Times New Roman" w:hAnsi="Times New Roman"/>
                <w:i/>
                <w:sz w:val="24"/>
                <w:szCs w:val="24"/>
                <w:lang w:eastAsia="en-US"/>
              </w:rPr>
              <w:t>R</w:t>
            </w:r>
            <w:r w:rsidRPr="008473CA">
              <w:rPr>
                <w:rFonts w:ascii="Times New Roman" w:eastAsia="Times New Roman" w:hAnsi="Times New Roman"/>
                <w:i/>
                <w:sz w:val="24"/>
                <w:szCs w:val="24"/>
                <w:vertAlign w:val="superscript"/>
                <w:lang w:eastAsia="en-US"/>
              </w:rPr>
              <w:t>2</w:t>
            </w:r>
            <w:r w:rsidRPr="008473CA">
              <w:rPr>
                <w:rFonts w:ascii="Times New Roman" w:eastAsia="Times New Roman" w:hAnsi="Times New Roman"/>
                <w:sz w:val="24"/>
                <w:szCs w:val="24"/>
                <w:lang w:eastAsia="en-US"/>
              </w:rPr>
              <w:t xml:space="preserve"> = 0.01, </w:t>
            </w:r>
            <w:r w:rsidRPr="008473CA">
              <w:rPr>
                <w:rFonts w:ascii="Times New Roman" w:eastAsia="Times New Roman" w:hAnsi="Times New Roman"/>
                <w:i/>
                <w:sz w:val="24"/>
                <w:szCs w:val="24"/>
                <w:lang w:eastAsia="en-US"/>
              </w:rPr>
              <w:t>p</w:t>
            </w:r>
            <w:r w:rsidRPr="008473CA">
              <w:rPr>
                <w:rFonts w:ascii="Times New Roman" w:eastAsia="Times New Roman" w:hAnsi="Times New Roman"/>
                <w:sz w:val="24"/>
                <w:szCs w:val="24"/>
                <w:lang w:eastAsia="en-US"/>
              </w:rPr>
              <w:t xml:space="preserve"> = 0.95</w:t>
            </w:r>
          </w:p>
        </w:tc>
      </w:tr>
    </w:tbl>
    <w:p w:rsidR="008473CA" w:rsidRPr="008473CA" w:rsidRDefault="008473CA" w:rsidP="008473CA">
      <w:pPr>
        <w:spacing w:line="480" w:lineRule="auto"/>
        <w:rPr>
          <w:rFonts w:ascii="Times New Roman" w:eastAsia="Times New Roman" w:hAnsi="Times New Roman" w:cs="Times New Roman"/>
          <w:sz w:val="24"/>
          <w:szCs w:val="24"/>
          <w:lang w:eastAsia="en-US"/>
        </w:rPr>
      </w:pPr>
    </w:p>
    <w:p w:rsidR="008473CA" w:rsidRPr="008473CA" w:rsidRDefault="008473CA" w:rsidP="008473CA">
      <w:pPr>
        <w:spacing w:after="0" w:line="480" w:lineRule="auto"/>
        <w:rPr>
          <w:rFonts w:ascii="Times New Roman" w:eastAsia="Times New Roman" w:hAnsi="Times New Roman" w:cs="Times New Roman"/>
          <w:sz w:val="24"/>
          <w:szCs w:val="24"/>
          <w:lang w:eastAsia="en-US"/>
        </w:rPr>
      </w:pPr>
    </w:p>
    <w:p w:rsidR="001D41C3" w:rsidRDefault="001D41C3"/>
    <w:sectPr w:rsidR="001D41C3" w:rsidSect="00507446">
      <w:headerReference w:type="default" r:id="rId7"/>
      <w:footerReference w:type="default" r:id="rId8"/>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B8" w:rsidRDefault="005F34B8">
      <w:pPr>
        <w:spacing w:after="0" w:line="240" w:lineRule="auto"/>
      </w:pPr>
      <w:r>
        <w:separator/>
      </w:r>
    </w:p>
  </w:endnote>
  <w:endnote w:type="continuationSeparator" w:id="0">
    <w:p w:rsidR="005F34B8" w:rsidRDefault="005F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47" w:rsidRDefault="005F34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B8" w:rsidRDefault="005F34B8">
      <w:pPr>
        <w:spacing w:after="0" w:line="240" w:lineRule="auto"/>
      </w:pPr>
      <w:r>
        <w:separator/>
      </w:r>
    </w:p>
  </w:footnote>
  <w:footnote w:type="continuationSeparator" w:id="0">
    <w:p w:rsidR="005F34B8" w:rsidRDefault="005F3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47" w:rsidRDefault="008473CA">
    <w:pPr>
      <w:pStyle w:val="Header"/>
      <w:jc w:val="right"/>
    </w:pPr>
    <w:r>
      <w:t xml:space="preserve">Bi Page </w:t>
    </w:r>
    <w:r>
      <w:rPr>
        <w:rStyle w:val="PageNumber"/>
      </w:rPr>
      <w:fldChar w:fldCharType="begin"/>
    </w:r>
    <w:r>
      <w:rPr>
        <w:rStyle w:val="PageNumber"/>
      </w:rPr>
      <w:instrText xml:space="preserve"> PAGE </w:instrText>
    </w:r>
    <w:r>
      <w:rPr>
        <w:rStyle w:val="PageNumber"/>
      </w:rPr>
      <w:fldChar w:fldCharType="separate"/>
    </w:r>
    <w:r w:rsidR="00104B20">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CA"/>
    <w:rsid w:val="00104B20"/>
    <w:rsid w:val="001D41C3"/>
    <w:rsid w:val="005F34B8"/>
    <w:rsid w:val="008473CA"/>
    <w:rsid w:val="00AF7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7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73CA"/>
  </w:style>
  <w:style w:type="character" w:styleId="PageNumber">
    <w:name w:val="page number"/>
    <w:basedOn w:val="DefaultParagraphFont"/>
    <w:rsid w:val="008473CA"/>
  </w:style>
  <w:style w:type="table" w:styleId="TableGrid">
    <w:name w:val="Table Grid"/>
    <w:basedOn w:val="TableNormal"/>
    <w:uiPriority w:val="59"/>
    <w:rsid w:val="008473CA"/>
    <w:pPr>
      <w:spacing w:after="0" w:line="240" w:lineRule="auto"/>
    </w:pPr>
    <w:rPr>
      <w:rFonts w:ascii="Calibri" w:eastAsia="Malgun Gothic"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7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CA"/>
    <w:rPr>
      <w:rFonts w:ascii="Tahoma" w:hAnsi="Tahoma" w:cs="Tahoma"/>
      <w:sz w:val="16"/>
      <w:szCs w:val="16"/>
    </w:rPr>
  </w:style>
  <w:style w:type="character" w:styleId="LineNumber">
    <w:name w:val="line number"/>
    <w:basedOn w:val="DefaultParagraphFont"/>
    <w:uiPriority w:val="99"/>
    <w:semiHidden/>
    <w:unhideWhenUsed/>
    <w:rsid w:val="00847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7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73CA"/>
  </w:style>
  <w:style w:type="character" w:styleId="PageNumber">
    <w:name w:val="page number"/>
    <w:basedOn w:val="DefaultParagraphFont"/>
    <w:rsid w:val="008473CA"/>
  </w:style>
  <w:style w:type="table" w:styleId="TableGrid">
    <w:name w:val="Table Grid"/>
    <w:basedOn w:val="TableNormal"/>
    <w:uiPriority w:val="59"/>
    <w:rsid w:val="008473CA"/>
    <w:pPr>
      <w:spacing w:after="0" w:line="240" w:lineRule="auto"/>
    </w:pPr>
    <w:rPr>
      <w:rFonts w:ascii="Calibri" w:eastAsia="Malgun Gothic"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7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CA"/>
    <w:rPr>
      <w:rFonts w:ascii="Tahoma" w:hAnsi="Tahoma" w:cs="Tahoma"/>
      <w:sz w:val="16"/>
      <w:szCs w:val="16"/>
    </w:rPr>
  </w:style>
  <w:style w:type="character" w:styleId="LineNumber">
    <w:name w:val="line number"/>
    <w:basedOn w:val="DefaultParagraphFont"/>
    <w:uiPriority w:val="99"/>
    <w:semiHidden/>
    <w:unhideWhenUsed/>
    <w:rsid w:val="0084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CBL/UMCES</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bihshlsu</dc:creator>
  <cp:lastModifiedBy>bihshlsu</cp:lastModifiedBy>
  <cp:revision>2</cp:revision>
  <dcterms:created xsi:type="dcterms:W3CDTF">2013-12-20T17:55:00Z</dcterms:created>
  <dcterms:modified xsi:type="dcterms:W3CDTF">2014-01-05T13:23:00Z</dcterms:modified>
</cp:coreProperties>
</file>