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83D39" w14:textId="77777777" w:rsidR="00FA1481" w:rsidRDefault="00664A12" w:rsidP="00E40896">
      <w:pPr>
        <w:jc w:val="center"/>
        <w:rPr>
          <w:sz w:val="36"/>
          <w:szCs w:val="36"/>
        </w:rPr>
      </w:pPr>
      <w:bookmarkStart w:id="0" w:name="_GoBack"/>
      <w:bookmarkEnd w:id="0"/>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694B0B77" w:rsidR="00CE6EAA" w:rsidRPr="00BF1BF9" w:rsidRDefault="00822A85" w:rsidP="00FF3503">
      <w:pPr>
        <w:spacing w:before="100" w:beforeAutospacing="1" w:after="100" w:afterAutospacing="1"/>
        <w:jc w:val="center"/>
        <w:rPr>
          <w:i/>
          <w:sz w:val="22"/>
          <w:szCs w:val="22"/>
        </w:rPr>
      </w:pPr>
      <w:r>
        <w:rPr>
          <w:i/>
          <w:sz w:val="22"/>
          <w:szCs w:val="22"/>
        </w:rPr>
        <w:t xml:space="preserve">Journal of Geophysical Research, </w:t>
      </w:r>
      <w:proofErr w:type="spellStart"/>
      <w:r>
        <w:rPr>
          <w:i/>
          <w:sz w:val="22"/>
          <w:szCs w:val="22"/>
        </w:rPr>
        <w:t>Biogeosciences</w:t>
      </w:r>
      <w:proofErr w:type="spellEnd"/>
    </w:p>
    <w:p w14:paraId="2CB29489" w14:textId="77777777" w:rsidR="00FF3503" w:rsidRPr="00CE6EAA" w:rsidRDefault="00FF3503" w:rsidP="00FF3503">
      <w:pPr>
        <w:spacing w:before="100" w:beforeAutospacing="1" w:after="100" w:afterAutospacing="1"/>
        <w:jc w:val="center"/>
        <w:rPr>
          <w:sz w:val="22"/>
          <w:szCs w:val="22"/>
        </w:rPr>
      </w:pPr>
      <w:r w:rsidRPr="00CE6EAA">
        <w:rPr>
          <w:sz w:val="22"/>
          <w:szCs w:val="22"/>
        </w:rPr>
        <w:t>Supporting Information for</w:t>
      </w:r>
    </w:p>
    <w:p w14:paraId="28E56907" w14:textId="77777777" w:rsidR="00822A85" w:rsidRPr="00822A85" w:rsidRDefault="00822A85" w:rsidP="00822A85">
      <w:pPr>
        <w:spacing w:before="100" w:beforeAutospacing="1" w:after="100" w:afterAutospacing="1"/>
        <w:jc w:val="center"/>
        <w:rPr>
          <w:b/>
          <w:sz w:val="22"/>
          <w:szCs w:val="22"/>
        </w:rPr>
      </w:pPr>
      <w:r w:rsidRPr="00822A85">
        <w:rPr>
          <w:b/>
          <w:sz w:val="22"/>
          <w:szCs w:val="22"/>
        </w:rPr>
        <w:t xml:space="preserve">A Phytoplankton Model for the Allocation of Gross Photosynthetic Energy Including the Trade-offs of </w:t>
      </w:r>
      <w:proofErr w:type="spellStart"/>
      <w:r w:rsidRPr="00822A85">
        <w:rPr>
          <w:b/>
          <w:sz w:val="22"/>
          <w:szCs w:val="22"/>
        </w:rPr>
        <w:t>Diazotrophy</w:t>
      </w:r>
      <w:proofErr w:type="spellEnd"/>
      <w:r w:rsidRPr="00822A85">
        <w:rPr>
          <w:b/>
          <w:sz w:val="22"/>
          <w:szCs w:val="22"/>
        </w:rPr>
        <w:t xml:space="preserve">  </w:t>
      </w:r>
    </w:p>
    <w:p w14:paraId="42FFC78E" w14:textId="1E5EA667" w:rsidR="00FF3503" w:rsidRDefault="00822A85" w:rsidP="00822A85">
      <w:pPr>
        <w:spacing w:before="100" w:beforeAutospacing="1" w:after="100" w:afterAutospacing="1"/>
        <w:jc w:val="center"/>
        <w:rPr>
          <w:sz w:val="22"/>
          <w:szCs w:val="22"/>
        </w:rPr>
      </w:pPr>
      <w:r w:rsidRPr="00822A85">
        <w:rPr>
          <w:b/>
          <w:sz w:val="22"/>
          <w:szCs w:val="22"/>
        </w:rPr>
        <w:t xml:space="preserve"> </w:t>
      </w:r>
      <w:r w:rsidRPr="00822A85">
        <w:rPr>
          <w:sz w:val="22"/>
          <w:szCs w:val="22"/>
        </w:rPr>
        <w:t>D. P. Nicholson</w:t>
      </w:r>
      <w:r w:rsidRPr="00822A85">
        <w:rPr>
          <w:sz w:val="22"/>
          <w:szCs w:val="22"/>
          <w:vertAlign w:val="superscript"/>
        </w:rPr>
        <w:t>1</w:t>
      </w:r>
      <w:r w:rsidRPr="00822A85">
        <w:rPr>
          <w:sz w:val="22"/>
          <w:szCs w:val="22"/>
        </w:rPr>
        <w:t>, R. H. R. Stanley</w:t>
      </w:r>
      <w:r w:rsidRPr="00822A85">
        <w:rPr>
          <w:sz w:val="22"/>
          <w:szCs w:val="22"/>
          <w:vertAlign w:val="superscript"/>
        </w:rPr>
        <w:t>2</w:t>
      </w:r>
      <w:r w:rsidRPr="00822A85">
        <w:rPr>
          <w:sz w:val="22"/>
          <w:szCs w:val="22"/>
        </w:rPr>
        <w:t>, and S. C. Doney</w:t>
      </w:r>
      <w:r w:rsidRPr="00822A85">
        <w:rPr>
          <w:sz w:val="22"/>
          <w:szCs w:val="22"/>
          <w:vertAlign w:val="superscript"/>
        </w:rPr>
        <w:t>1,3</w:t>
      </w:r>
    </w:p>
    <w:p w14:paraId="465C2E8E" w14:textId="77777777" w:rsidR="00822A85" w:rsidRPr="00822A85" w:rsidRDefault="00822A85" w:rsidP="00822A85">
      <w:pPr>
        <w:spacing w:before="100" w:beforeAutospacing="1" w:after="100" w:afterAutospacing="1"/>
        <w:jc w:val="center"/>
        <w:rPr>
          <w:sz w:val="18"/>
          <w:szCs w:val="18"/>
        </w:rPr>
      </w:pPr>
      <w:r w:rsidRPr="00822A85">
        <w:rPr>
          <w:sz w:val="18"/>
          <w:szCs w:val="18"/>
          <w:vertAlign w:val="superscript"/>
        </w:rPr>
        <w:t>1</w:t>
      </w:r>
      <w:r w:rsidRPr="00822A85">
        <w:rPr>
          <w:sz w:val="18"/>
          <w:szCs w:val="18"/>
        </w:rPr>
        <w:t>Marine Chemistry and Geochemistry Department, Woods Hole Oceanographic Institution, Woods Hole, MA, USA</w:t>
      </w:r>
    </w:p>
    <w:p w14:paraId="5972E0A4" w14:textId="77777777" w:rsidR="00822A85" w:rsidRPr="00822A85" w:rsidRDefault="00822A85" w:rsidP="00822A85">
      <w:pPr>
        <w:spacing w:before="100" w:beforeAutospacing="1" w:after="100" w:afterAutospacing="1"/>
        <w:jc w:val="center"/>
        <w:rPr>
          <w:sz w:val="18"/>
          <w:szCs w:val="18"/>
        </w:rPr>
      </w:pPr>
      <w:r w:rsidRPr="00822A85">
        <w:rPr>
          <w:sz w:val="18"/>
          <w:szCs w:val="18"/>
          <w:vertAlign w:val="superscript"/>
        </w:rPr>
        <w:t>2</w:t>
      </w:r>
      <w:r w:rsidRPr="00822A85">
        <w:rPr>
          <w:sz w:val="18"/>
          <w:szCs w:val="18"/>
        </w:rPr>
        <w:t>Department of Chemistry, Wellesley, College, Wellesley, MA, USA.</w:t>
      </w:r>
    </w:p>
    <w:p w14:paraId="71891EDF" w14:textId="2720D25D" w:rsidR="00094365" w:rsidRPr="00CE6EAA" w:rsidRDefault="00822A85" w:rsidP="00822A85">
      <w:pPr>
        <w:spacing w:before="100" w:beforeAutospacing="1" w:after="100" w:afterAutospacing="1"/>
        <w:jc w:val="center"/>
        <w:rPr>
          <w:sz w:val="22"/>
          <w:szCs w:val="22"/>
        </w:rPr>
      </w:pPr>
      <w:r w:rsidRPr="00822A85">
        <w:rPr>
          <w:sz w:val="18"/>
          <w:szCs w:val="18"/>
          <w:vertAlign w:val="superscript"/>
        </w:rPr>
        <w:t>3</w:t>
      </w:r>
      <w:r w:rsidRPr="00822A85">
        <w:rPr>
          <w:sz w:val="18"/>
          <w:szCs w:val="18"/>
        </w:rPr>
        <w:t>Department of Environmental Sciences, University of Virginia, Charlottesville, VA.</w:t>
      </w:r>
      <w:r w:rsidR="00A50033" w:rsidRPr="00CE6EAA" w:rsidDel="00A50033">
        <w:rPr>
          <w:sz w:val="22"/>
          <w:szCs w:val="22"/>
        </w:rPr>
        <w:t xml:space="preserve"> </w:t>
      </w:r>
    </w:p>
    <w:p w14:paraId="347237BD" w14:textId="77777777" w:rsidR="00094365" w:rsidRPr="00CE6EAA" w:rsidRDefault="00094365" w:rsidP="000B2E64">
      <w:pPr>
        <w:spacing w:before="100" w:beforeAutospacing="1" w:after="100" w:afterAutospacing="1"/>
        <w:jc w:val="center"/>
        <w:rPr>
          <w:sz w:val="22"/>
          <w:szCs w:val="22"/>
        </w:rPr>
      </w:pPr>
    </w:p>
    <w:p w14:paraId="1CD128B3" w14:textId="77777777" w:rsidR="00111843" w:rsidRDefault="00111843" w:rsidP="00111843">
      <w:pPr>
        <w:rPr>
          <w:b/>
        </w:rPr>
      </w:pPr>
      <w:r w:rsidRPr="00CE6EAA">
        <w:rPr>
          <w:b/>
        </w:rPr>
        <w:t>Contents of this file</w:t>
      </w:r>
      <w:r w:rsidR="00E43D2D">
        <w:rPr>
          <w:b/>
        </w:rPr>
        <w:t xml:space="preserve"> </w:t>
      </w:r>
    </w:p>
    <w:p w14:paraId="1F13291B" w14:textId="77777777" w:rsidR="00E43D2D" w:rsidRPr="00E40896" w:rsidRDefault="00E43D2D" w:rsidP="00111843"/>
    <w:p w14:paraId="3D1CAEA0" w14:textId="5E247B5F" w:rsidR="00111843" w:rsidRPr="00CE6EAA" w:rsidRDefault="00822A85" w:rsidP="00111843">
      <w:pPr>
        <w:ind w:left="720"/>
        <w:rPr>
          <w:sz w:val="22"/>
          <w:szCs w:val="22"/>
        </w:rPr>
      </w:pPr>
      <w:r>
        <w:rPr>
          <w:sz w:val="22"/>
          <w:szCs w:val="22"/>
        </w:rPr>
        <w:t>Text S1 to S3</w:t>
      </w:r>
    </w:p>
    <w:p w14:paraId="795CD27E" w14:textId="502CAE9A" w:rsidR="00111843" w:rsidRPr="002062D8" w:rsidRDefault="00822A85" w:rsidP="002062D8">
      <w:pPr>
        <w:ind w:left="720"/>
        <w:rPr>
          <w:sz w:val="22"/>
          <w:szCs w:val="22"/>
        </w:rPr>
      </w:pPr>
      <w:r>
        <w:rPr>
          <w:sz w:val="22"/>
          <w:szCs w:val="22"/>
        </w:rPr>
        <w:t>Figures S1 to S3</w:t>
      </w:r>
    </w:p>
    <w:p w14:paraId="79042C92" w14:textId="77777777" w:rsidR="00FF3503" w:rsidRPr="00CE6EAA" w:rsidRDefault="00FF3503" w:rsidP="00FF3503">
      <w:pPr>
        <w:spacing w:before="100" w:beforeAutospacing="1" w:after="100" w:afterAutospacing="1"/>
        <w:rPr>
          <w:b/>
          <w:szCs w:val="24"/>
        </w:rPr>
      </w:pPr>
      <w:r w:rsidRPr="00CE6EAA">
        <w:rPr>
          <w:b/>
          <w:bCs/>
          <w:szCs w:val="24"/>
        </w:rPr>
        <w:t>Introduction</w:t>
      </w:r>
      <w:r w:rsidRPr="00CE6EAA">
        <w:rPr>
          <w:b/>
          <w:szCs w:val="24"/>
        </w:rPr>
        <w:t xml:space="preserve"> </w:t>
      </w:r>
    </w:p>
    <w:p w14:paraId="302EE689" w14:textId="41AADB85" w:rsidR="00FF3503" w:rsidRPr="00CE6EAA" w:rsidRDefault="00E34DC7" w:rsidP="00FF3503">
      <w:pPr>
        <w:spacing w:before="100" w:beforeAutospacing="1" w:after="100" w:afterAutospacing="1"/>
        <w:rPr>
          <w:sz w:val="22"/>
          <w:szCs w:val="22"/>
        </w:rPr>
      </w:pPr>
      <w:r>
        <w:rPr>
          <w:sz w:val="22"/>
          <w:szCs w:val="22"/>
        </w:rPr>
        <w:t>Three supplemental sections are included. The first (</w:t>
      </w:r>
      <w:r>
        <w:rPr>
          <w:b/>
          <w:sz w:val="22"/>
          <w:szCs w:val="22"/>
        </w:rPr>
        <w:t xml:space="preserve">Text S1) </w:t>
      </w:r>
      <w:r>
        <w:rPr>
          <w:sz w:val="22"/>
          <w:szCs w:val="22"/>
        </w:rPr>
        <w:t xml:space="preserve">details how nutrient uptake kinetics are treated in PCAM, including </w:t>
      </w:r>
      <w:proofErr w:type="spellStart"/>
      <w:r>
        <w:rPr>
          <w:sz w:val="22"/>
          <w:szCs w:val="22"/>
        </w:rPr>
        <w:t>allometric</w:t>
      </w:r>
      <w:proofErr w:type="spellEnd"/>
      <w:r>
        <w:rPr>
          <w:sz w:val="22"/>
          <w:szCs w:val="22"/>
        </w:rPr>
        <w:t xml:space="preserve"> scaling of uptake as illustrated in </w:t>
      </w:r>
      <w:r w:rsidRPr="00E34DC7">
        <w:rPr>
          <w:b/>
          <w:sz w:val="22"/>
          <w:szCs w:val="22"/>
        </w:rPr>
        <w:t>Figure S1</w:t>
      </w:r>
      <w:r>
        <w:rPr>
          <w:sz w:val="22"/>
          <w:szCs w:val="22"/>
        </w:rPr>
        <w:t xml:space="preserve">. </w:t>
      </w:r>
      <w:r w:rsidRPr="00E34DC7">
        <w:rPr>
          <w:b/>
          <w:sz w:val="22"/>
          <w:szCs w:val="22"/>
        </w:rPr>
        <w:t>Text S2</w:t>
      </w:r>
      <w:r>
        <w:rPr>
          <w:sz w:val="22"/>
          <w:szCs w:val="22"/>
        </w:rPr>
        <w:t xml:space="preserve"> outlines an additional validation of PCAM against observations from the California Cooperative Oceanic Fisheries Investigations (</w:t>
      </w:r>
      <w:proofErr w:type="spellStart"/>
      <w:r>
        <w:rPr>
          <w:sz w:val="22"/>
          <w:szCs w:val="22"/>
        </w:rPr>
        <w:t>CalCOFI</w:t>
      </w:r>
      <w:proofErr w:type="spellEnd"/>
      <w:r>
        <w:rPr>
          <w:sz w:val="22"/>
          <w:szCs w:val="22"/>
        </w:rPr>
        <w:t xml:space="preserve">) program, with results shown in </w:t>
      </w:r>
      <w:r w:rsidRPr="00E34DC7">
        <w:rPr>
          <w:b/>
          <w:sz w:val="22"/>
          <w:szCs w:val="22"/>
        </w:rPr>
        <w:t>Figure S2</w:t>
      </w:r>
      <w:r>
        <w:rPr>
          <w:sz w:val="22"/>
          <w:szCs w:val="22"/>
        </w:rPr>
        <w:t xml:space="preserve">. A full derivation for the optimal allocation solution to PCAM as described in Section 2.8 is included in </w:t>
      </w:r>
      <w:r w:rsidRPr="00E34DC7">
        <w:rPr>
          <w:b/>
          <w:sz w:val="22"/>
          <w:szCs w:val="22"/>
        </w:rPr>
        <w:t>Text S3</w:t>
      </w:r>
      <w:r>
        <w:rPr>
          <w:sz w:val="22"/>
          <w:szCs w:val="22"/>
        </w:rPr>
        <w:t xml:space="preserve">.  Supporting environmental and resource fields for the comparison to GEOTRACES as described in section 3.2.2 is shown in </w:t>
      </w:r>
      <w:r w:rsidRPr="00E34DC7">
        <w:rPr>
          <w:b/>
          <w:sz w:val="22"/>
          <w:szCs w:val="22"/>
        </w:rPr>
        <w:t>Figure S3</w:t>
      </w:r>
      <w:r>
        <w:rPr>
          <w:sz w:val="22"/>
          <w:szCs w:val="22"/>
        </w:rPr>
        <w:t>.</w:t>
      </w:r>
    </w:p>
    <w:p w14:paraId="19886F0B" w14:textId="77777777" w:rsidR="002C030F" w:rsidRPr="00E40896" w:rsidRDefault="002C030F"/>
    <w:p w14:paraId="2218C341" w14:textId="77777777" w:rsidR="00015F74" w:rsidRPr="00E40896" w:rsidRDefault="00015F74">
      <w:pPr>
        <w:rPr>
          <w:b/>
        </w:rPr>
      </w:pPr>
    </w:p>
    <w:p w14:paraId="2B074851" w14:textId="77777777" w:rsidR="002C030F" w:rsidRPr="00E40896" w:rsidRDefault="002C030F"/>
    <w:p w14:paraId="516E0BA3" w14:textId="77777777" w:rsidR="0020183F" w:rsidRDefault="0020183F"/>
    <w:p w14:paraId="69920172" w14:textId="77777777" w:rsidR="00E34DC7" w:rsidRDefault="00E34DC7">
      <w:pPr>
        <w:rPr>
          <w:b/>
          <w:bCs/>
          <w:kern w:val="32"/>
          <w:szCs w:val="24"/>
        </w:rPr>
      </w:pPr>
      <w:r>
        <w:br w:type="page"/>
      </w:r>
    </w:p>
    <w:p w14:paraId="667D8CA8" w14:textId="52B44A44" w:rsidR="00015F74" w:rsidRDefault="00015F74" w:rsidP="0032151C">
      <w:pPr>
        <w:pStyle w:val="SMHeading"/>
      </w:pPr>
      <w:r w:rsidRPr="005314B5">
        <w:lastRenderedPageBreak/>
        <w:t>Text</w:t>
      </w:r>
      <w:r w:rsidR="00D60BB0">
        <w:t xml:space="preserve"> S1.</w:t>
      </w:r>
      <w:r w:rsidR="0032151C">
        <w:t xml:space="preserve"> Nutrient Uptake Kinetics</w:t>
      </w:r>
    </w:p>
    <w:p w14:paraId="4C31A15E" w14:textId="77777777" w:rsidR="0032151C" w:rsidRDefault="0032151C" w:rsidP="0032151C">
      <w:pPr>
        <w:rPr>
          <w:bCs/>
        </w:rPr>
      </w:pPr>
      <w:r>
        <w:rPr>
          <w:bCs/>
        </w:rPr>
        <w:t>Nutrient uptake kinetics were modeled based on existing theory such that cells can acclimate by adjusting the number of uptake sites (</w:t>
      </w:r>
      <w:r w:rsidRPr="000C5F6D">
        <w:rPr>
          <w:bCs/>
          <w:i/>
        </w:rPr>
        <w:t>n</w:t>
      </w:r>
      <w:r>
        <w:rPr>
          <w:bCs/>
        </w:rPr>
        <w:t>) (up to a maximum density) in order to improve uptake affinity at low nutrient concentrations.  Each uptake site has a fixed surface area (</w:t>
      </w:r>
      <w:r w:rsidRPr="000C5F6D">
        <w:rPr>
          <w:bCs/>
          <w:i/>
        </w:rPr>
        <w:t>A</w:t>
      </w:r>
      <w:r>
        <w:rPr>
          <w:bCs/>
        </w:rPr>
        <w:t>) and fixed handling time for uptake (</w:t>
      </w:r>
      <w:r w:rsidRPr="000C5F6D">
        <w:rPr>
          <w:bCs/>
          <w:i/>
        </w:rPr>
        <w:t>h</w:t>
      </w:r>
      <w:r>
        <w:rPr>
          <w:bCs/>
        </w:rPr>
        <w:t xml:space="preserve">).  Following </w:t>
      </w:r>
      <w:proofErr w:type="spellStart"/>
      <w:r>
        <w:rPr>
          <w:bCs/>
        </w:rPr>
        <w:t>Aksnes</w:t>
      </w:r>
      <w:proofErr w:type="spellEnd"/>
      <w:r>
        <w:rPr>
          <w:bCs/>
        </w:rPr>
        <w:t xml:space="preserve"> and </w:t>
      </w:r>
      <w:proofErr w:type="spellStart"/>
      <w:r>
        <w:rPr>
          <w:bCs/>
        </w:rPr>
        <w:t>Egge</w:t>
      </w:r>
      <w:proofErr w:type="spellEnd"/>
      <w:r>
        <w:rPr>
          <w:bCs/>
        </w:rPr>
        <w:t xml:space="preserve"> (1991) the uptake rate in </w:t>
      </w:r>
      <w:proofErr w:type="spellStart"/>
      <w:r>
        <w:rPr>
          <w:bCs/>
        </w:rPr>
        <w:t>mol</w:t>
      </w:r>
      <w:proofErr w:type="spellEnd"/>
      <w:r>
        <w:rPr>
          <w:bCs/>
        </w:rPr>
        <w:t xml:space="preserve"> s</w:t>
      </w:r>
      <w:r w:rsidRPr="00B65C73">
        <w:rPr>
          <w:bCs/>
          <w:vertAlign w:val="superscript"/>
        </w:rPr>
        <w:t>-1</w:t>
      </w:r>
      <w:r>
        <w:rPr>
          <w:bCs/>
        </w:rPr>
        <w:t xml:space="preserve"> cell</w:t>
      </w:r>
      <w:r w:rsidRPr="00A83985">
        <w:rPr>
          <w:bCs/>
          <w:vertAlign w:val="superscript"/>
        </w:rPr>
        <w:t>-1</w:t>
      </w:r>
      <w:r>
        <w:rPr>
          <w:bCs/>
        </w:rPr>
        <w:t xml:space="preserve"> (</w:t>
      </w:r>
      <m:oMath>
        <m:sSubSup>
          <m:sSubSupPr>
            <m:ctrlPr>
              <w:rPr>
                <w:rFonts w:ascii="Cambria Math" w:hAnsi="Cambria Math"/>
                <w:i/>
              </w:rPr>
            </m:ctrlPr>
          </m:sSubSupPr>
          <m:e>
            <m:r>
              <w:rPr>
                <w:rFonts w:ascii="Cambria Math" w:hAnsi="Cambria Math"/>
              </w:rPr>
              <m:t>V</m:t>
            </m:r>
          </m:e>
          <m:sub/>
          <m:sup>
            <m:r>
              <w:rPr>
                <w:rFonts w:ascii="Cambria Math" w:hAnsi="Cambria Math"/>
              </w:rPr>
              <m:t>S</m:t>
            </m:r>
          </m:sup>
        </m:sSubSup>
        <m:r>
          <w:rPr>
            <w:rFonts w:ascii="Cambria Math" w:hAnsi="Cambria Math"/>
          </w:rPr>
          <m:t>)</m:t>
        </m:r>
      </m:oMath>
      <w:r>
        <w:rPr>
          <w:rFonts w:eastAsiaTheme="minorEastAsia"/>
        </w:rPr>
        <w:t xml:space="preserve"> </w:t>
      </w:r>
      <w:r>
        <w:rPr>
          <w:bCs/>
        </w:rPr>
        <w:t>is expressed as:</w:t>
      </w:r>
    </w:p>
    <w:p w14:paraId="27086B44" w14:textId="77777777" w:rsidR="0032151C" w:rsidRPr="00E57C26" w:rsidRDefault="0032151C" w:rsidP="0032151C">
      <w:pPr>
        <w:rPr>
          <w:bCs/>
        </w:rPr>
      </w:pPr>
      <w:r>
        <w:rPr>
          <w:bCs/>
        </w:rPr>
        <w:t xml:space="preserve">  </w:t>
      </w:r>
      <m:oMath>
        <m:sSubSup>
          <m:sSubSupPr>
            <m:ctrlPr>
              <w:rPr>
                <w:rFonts w:ascii="Cambria Math" w:hAnsi="Cambria Math"/>
                <w:i/>
              </w:rPr>
            </m:ctrlPr>
          </m:sSubSupPr>
          <m:e>
            <m:r>
              <w:rPr>
                <w:rFonts w:ascii="Cambria Math" w:hAnsi="Cambria Math"/>
              </w:rPr>
              <m:t>V</m:t>
            </m:r>
          </m:e>
          <m:sub/>
          <m:sup>
            <m:r>
              <w:rPr>
                <w:rFonts w:ascii="Cambria Math" w:hAnsi="Cambria Math"/>
              </w:rPr>
              <m:t>S</m:t>
            </m:r>
          </m:sup>
        </m:sSubSup>
        <m:r>
          <w:rPr>
            <w:rFonts w:ascii="Cambria Math" w:hAnsi="Cambria Math"/>
          </w:rPr>
          <m:t>=</m:t>
        </m:r>
        <m:f>
          <m:fPr>
            <m:ctrlPr>
              <w:rPr>
                <w:rFonts w:ascii="Cambria Math" w:hAnsi="Cambria Math"/>
                <w:i/>
              </w:rPr>
            </m:ctrlPr>
          </m:fPr>
          <m:num>
            <m:r>
              <w:rPr>
                <w:rFonts w:ascii="Cambria Math" w:hAnsi="Cambria Math"/>
              </w:rPr>
              <m:t>nAkS</m:t>
            </m:r>
          </m:num>
          <m:den>
            <m:d>
              <m:dPr>
                <m:ctrlPr>
                  <w:rPr>
                    <w:rFonts w:ascii="Cambria Math" w:hAnsi="Cambria Math"/>
                    <w:i/>
                  </w:rPr>
                </m:ctrlPr>
              </m:dPr>
              <m:e>
                <m:r>
                  <w:rPr>
                    <w:rFonts w:ascii="Cambria Math" w:hAnsi="Cambria Math"/>
                  </w:rPr>
                  <m:t>1+</m:t>
                </m:r>
                <m:r>
                  <w:rPr>
                    <w:rFonts w:ascii="Cambria Math" w:hAnsi="Cambria Math"/>
                  </w:rPr>
                  <m:t>hAkS</m:t>
                </m:r>
              </m:e>
            </m:d>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(S1-1)</w:t>
      </w:r>
    </w:p>
    <w:p w14:paraId="0907DA8F" w14:textId="77777777" w:rsidR="0032151C" w:rsidRDefault="0032151C" w:rsidP="0032151C">
      <w:pPr>
        <w:rPr>
          <w:bCs/>
        </w:rPr>
      </w:pPr>
      <w:r>
        <w:rPr>
          <w:bCs/>
        </w:rPr>
        <w:t xml:space="preserve">where transfer velocity, </w:t>
      </w:r>
      <w:r w:rsidRPr="00957BC8">
        <w:rPr>
          <w:bCs/>
          <w:i/>
        </w:rPr>
        <w:t>k</w:t>
      </w:r>
      <w:r>
        <w:rPr>
          <w:bCs/>
          <w:i/>
        </w:rPr>
        <w:t>,</w:t>
      </w:r>
      <w:r>
        <w:rPr>
          <w:bCs/>
        </w:rPr>
        <w:t xml:space="preserve"> is assumed equal to </w:t>
      </w:r>
      <w:r w:rsidRPr="00CC7CB7">
        <w:rPr>
          <w:bCs/>
          <w:i/>
        </w:rPr>
        <w:t>D/r</w:t>
      </w:r>
      <w:r>
        <w:rPr>
          <w:bCs/>
        </w:rPr>
        <w:t xml:space="preserve">, where </w:t>
      </w:r>
      <w:r w:rsidRPr="007B1D98">
        <w:rPr>
          <w:bCs/>
          <w:i/>
        </w:rPr>
        <w:t>D</w:t>
      </w:r>
      <w:r>
        <w:rPr>
          <w:bCs/>
        </w:rPr>
        <w:t xml:space="preserve"> is diffusivity and </w:t>
      </w:r>
      <w:r w:rsidRPr="007B1D98">
        <w:rPr>
          <w:bCs/>
          <w:i/>
        </w:rPr>
        <w:t>r</w:t>
      </w:r>
      <w:r>
        <w:rPr>
          <w:bCs/>
        </w:rPr>
        <w:t xml:space="preserve"> is cell radius.  Temperature-dependent diffusivities are used for nitrate and phosphate </w:t>
      </w:r>
      <w:r>
        <w:rPr>
          <w:bCs/>
        </w:rPr>
        <w:fldChar w:fldCharType="begin"/>
      </w:r>
      <w:r>
        <w:rPr>
          <w:bCs/>
        </w:rPr>
        <w:instrText xml:space="preserve"> ADDIN ZOTERO_ITEM CSL_CITATION {"citationID":"1v9ctacstr","properties":{"formattedCitation":"(Yuan-Hui and Gregory, 1974)","plainCitation":"(Yuan-Hui and Gregory, 1974)"},"citationItems":[{"id":1143,"uris":["http://zotero.org/users/815468/items/XGI45BQ5"],"uri":["http://zotero.org/users/815468/items/XGI45BQ5"],"itemData":{"id":1143,"type":"article-journal","title":"Diffusion of ions in sea water and in deep-sea sediments","container-title":"Geochimica et Cosmochimica Acta","page":"703-714","volume":"38","issue":"5","source":"ScienceDirect","abstract":"The tracer-diffusion coefficient of ions in water, Dj0, and in sea water, Dj</w:instrText>
      </w:r>
      <w:r>
        <w:rPr>
          <w:rFonts w:ascii="MS Mincho" w:eastAsia="MS Mincho" w:hAnsi="MS Mincho" w:cs="MS Mincho"/>
          <w:bCs/>
        </w:rPr>
        <w:instrText>∗</w:instrText>
      </w:r>
      <w:r>
        <w:rPr>
          <w:bCs/>
        </w:rPr>
        <w:instrText>, differ by no more than zero to 8 per cent. When sea water diffuses into a dilute solution of water, in order to maintain the electro-neutrality, the average diffusion coefficients of major cations become greater but of major anions smaller than their respective Dj</w:instrText>
      </w:r>
      <w:r>
        <w:rPr>
          <w:rFonts w:ascii="MS Mincho" w:eastAsia="MS Mincho" w:hAnsi="MS Mincho" w:cs="MS Mincho"/>
          <w:bCs/>
        </w:rPr>
        <w:instrText>∗</w:instrText>
      </w:r>
      <w:r>
        <w:rPr>
          <w:bCs/>
        </w:rPr>
        <w:instrText xml:space="preserve"> or Dj0 values. The tracer diffusion coefficients of ions in deep-sea sediments, Dj,sed., can be related to Dj</w:instrText>
      </w:r>
      <w:r>
        <w:rPr>
          <w:rFonts w:ascii="MS Mincho" w:eastAsia="MS Mincho" w:hAnsi="MS Mincho" w:cs="MS Mincho"/>
          <w:bCs/>
        </w:rPr>
        <w:instrText>∗</w:instrText>
      </w:r>
      <w:r>
        <w:rPr>
          <w:bCs/>
        </w:rPr>
        <w:instrText xml:space="preserve"> by Dj,sed. = Dj</w:instrText>
      </w:r>
      <w:r>
        <w:rPr>
          <w:rFonts w:ascii="MS Mincho" w:eastAsia="MS Mincho" w:hAnsi="MS Mincho" w:cs="MS Mincho"/>
          <w:bCs/>
        </w:rPr>
        <w:instrText>∗</w:instrText>
      </w:r>
      <w:r>
        <w:rPr>
          <w:bCs/>
        </w:rPr>
        <w:instrText xml:space="preserve"> · αθ2, where θ is the tortuosity of the bulk sediment and a a constant close to one.","DOI":"10.1016/0016-7037(74)90145-8","ISSN":"0016-7037","journalAbbreviation":"Geochimica et Cosmochimica Acta","author":[{"family":"Yuan-Hui","given":"Li"},{"family":"Gregory","given":"Sandra"}],"issued":{"date-parts":[["1974",5,1]]}}}],"schema":"https://github.com/citation-style-language/schema/raw/master/csl-citation.json"} </w:instrText>
      </w:r>
      <w:r>
        <w:rPr>
          <w:bCs/>
        </w:rPr>
        <w:fldChar w:fldCharType="separate"/>
      </w:r>
      <w:r>
        <w:rPr>
          <w:bCs/>
          <w:noProof/>
        </w:rPr>
        <w:t>(Yuan-Hui and Gregory, 1974)</w:t>
      </w:r>
      <w:r>
        <w:rPr>
          <w:bCs/>
        </w:rPr>
        <w:fldChar w:fldCharType="end"/>
      </w:r>
      <w:r>
        <w:rPr>
          <w:bCs/>
        </w:rPr>
        <w:t>.  We specify that the maximum number of uptake sites is equal to a fixed fraction of cell surface area (</w:t>
      </w:r>
      <m:oMath>
        <m:sSubSup>
          <m:sSubSupPr>
            <m:ctrlPr>
              <w:rPr>
                <w:rFonts w:ascii="Cambria Math" w:eastAsia="Calibri" w:hAnsi="Cambria Math"/>
                <w:i/>
                <w:sz w:val="20"/>
                <w:shd w:val="clear" w:color="auto" w:fill="FFFFFF"/>
              </w:rPr>
            </m:ctrlPr>
          </m:sSubSupPr>
          <m:e>
            <m:r>
              <w:rPr>
                <w:rFonts w:ascii="Cambria Math" w:eastAsia="Calibri" w:hAnsi="Cambria Math"/>
                <w:sz w:val="20"/>
                <w:shd w:val="clear" w:color="auto" w:fill="FFFFFF"/>
              </w:rPr>
              <m:t>f</m:t>
            </m:r>
          </m:e>
          <m:sub>
            <m:r>
              <w:rPr>
                <w:rFonts w:ascii="Cambria Math" w:eastAsia="Calibri" w:hAnsi="Cambria Math"/>
                <w:sz w:val="20"/>
                <w:shd w:val="clear" w:color="auto" w:fill="FFFFFF"/>
              </w:rPr>
              <m:t>Aup</m:t>
            </m:r>
          </m:sub>
          <m:sup>
            <m:r>
              <w:rPr>
                <w:rFonts w:ascii="Cambria Math" w:eastAsia="Calibri" w:hAnsi="Cambria Math"/>
                <w:sz w:val="20"/>
                <w:shd w:val="clear" w:color="auto" w:fill="FFFFFF"/>
              </w:rPr>
              <m:t>S</m:t>
            </m:r>
          </m:sup>
        </m:sSubSup>
      </m:oMath>
      <w:r>
        <w:rPr>
          <w:rFonts w:eastAsiaTheme="minorEastAsia"/>
          <w:sz w:val="20"/>
          <w:shd w:val="clear" w:color="auto" w:fill="FFFFFF"/>
        </w:rPr>
        <w:t>) such that</w:t>
      </w:r>
      <w:r>
        <w:rPr>
          <w:bCs/>
        </w:rPr>
        <w:t>:</w:t>
      </w:r>
    </w:p>
    <w:p w14:paraId="0D586509" w14:textId="77777777" w:rsidR="0032151C" w:rsidRDefault="0032151C" w:rsidP="0032151C">
      <w:pPr>
        <w:rPr>
          <w:bCs/>
        </w:rPr>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m:t>
        </m:r>
        <m:sSubSup>
          <m:sSubSupPr>
            <m:ctrlPr>
              <w:rPr>
                <w:rFonts w:ascii="Cambria Math" w:eastAsia="Calibri" w:hAnsi="Cambria Math"/>
                <w:i/>
                <w:sz w:val="20"/>
                <w:shd w:val="clear" w:color="auto" w:fill="FFFFFF"/>
              </w:rPr>
            </m:ctrlPr>
          </m:sSubSupPr>
          <m:e>
            <m:r>
              <w:rPr>
                <w:rFonts w:ascii="Cambria Math" w:eastAsia="Calibri" w:hAnsi="Cambria Math"/>
                <w:sz w:val="20"/>
                <w:shd w:val="clear" w:color="auto" w:fill="FFFFFF"/>
              </w:rPr>
              <m:t>f</m:t>
            </m:r>
          </m:e>
          <m:sub>
            <m:r>
              <w:rPr>
                <w:rFonts w:ascii="Cambria Math" w:eastAsia="Calibri" w:hAnsi="Cambria Math"/>
                <w:sz w:val="20"/>
                <w:shd w:val="clear" w:color="auto" w:fill="FFFFFF"/>
              </w:rPr>
              <m:t>Aup</m:t>
            </m:r>
          </m:sub>
          <m:sup>
            <m:r>
              <w:rPr>
                <w:rFonts w:ascii="Cambria Math" w:eastAsia="Calibri" w:hAnsi="Cambria Math"/>
                <w:sz w:val="20"/>
                <w:shd w:val="clear" w:color="auto" w:fill="FFFFFF"/>
              </w:rPr>
              <m:t>S</m:t>
            </m:r>
          </m:sup>
        </m:sSubSup>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num>
          <m:den>
            <m:r>
              <w:rPr>
                <w:rFonts w:ascii="Cambria Math" w:hAnsi="Cambria Math"/>
              </w:rPr>
              <m:t>A</m:t>
            </m:r>
          </m:den>
        </m:f>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(S1-2)</w:t>
      </w:r>
    </w:p>
    <w:p w14:paraId="1328CFE2" w14:textId="77777777" w:rsidR="0032151C" w:rsidRDefault="0032151C" w:rsidP="0032151C">
      <w:pPr>
        <w:rPr>
          <w:bCs/>
        </w:rPr>
      </w:pPr>
      <w:r>
        <w:rPr>
          <w:bCs/>
        </w:rPr>
        <w:t xml:space="preserve">where </w:t>
      </w:r>
      <m:oMath>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is cell surface area assuming spherical geometry.  The maximum fraction devoted to uptake,  </w:t>
      </w:r>
      <m:oMath>
        <m:sSubSup>
          <m:sSubSupPr>
            <m:ctrlPr>
              <w:rPr>
                <w:rFonts w:ascii="Cambria Math" w:eastAsia="Calibri" w:hAnsi="Cambria Math"/>
                <w:i/>
                <w:sz w:val="20"/>
                <w:shd w:val="clear" w:color="auto" w:fill="FFFFFF"/>
              </w:rPr>
            </m:ctrlPr>
          </m:sSubSupPr>
          <m:e>
            <m:r>
              <w:rPr>
                <w:rFonts w:ascii="Cambria Math" w:eastAsia="Calibri" w:hAnsi="Cambria Math"/>
                <w:sz w:val="20"/>
                <w:shd w:val="clear" w:color="auto" w:fill="FFFFFF"/>
              </w:rPr>
              <m:t>f</m:t>
            </m:r>
          </m:e>
          <m:sub>
            <m:r>
              <w:rPr>
                <w:rFonts w:ascii="Cambria Math" w:eastAsia="Calibri" w:hAnsi="Cambria Math"/>
                <w:sz w:val="20"/>
                <w:shd w:val="clear" w:color="auto" w:fill="FFFFFF"/>
              </w:rPr>
              <m:t>Aup</m:t>
            </m:r>
          </m:sub>
          <m:sup>
            <m:r>
              <w:rPr>
                <w:rFonts w:ascii="Cambria Math" w:eastAsia="Calibri" w:hAnsi="Cambria Math"/>
                <w:sz w:val="20"/>
                <w:shd w:val="clear" w:color="auto" w:fill="FFFFFF"/>
              </w:rPr>
              <m:t>S</m:t>
            </m:r>
          </m:sup>
        </m:sSubSup>
      </m:oMath>
      <w:r>
        <w:rPr>
          <w:rFonts w:eastAsiaTheme="minorEastAsia"/>
        </w:rPr>
        <w:t xml:space="preserve">, is constant in PCAM. </w:t>
      </w:r>
    </w:p>
    <w:p w14:paraId="1FBBBAC4" w14:textId="77777777" w:rsidR="0032151C" w:rsidRDefault="0032151C" w:rsidP="0032151C">
      <w:pPr>
        <w:rPr>
          <w:bCs/>
        </w:rPr>
      </w:pPr>
      <w:r>
        <w:rPr>
          <w:bCs/>
        </w:rPr>
        <w:t xml:space="preserve">Compared to a traditional </w:t>
      </w:r>
      <w:proofErr w:type="spellStart"/>
      <w:r>
        <w:rPr>
          <w:bCs/>
        </w:rPr>
        <w:t>Michaelis-Menten</w:t>
      </w:r>
      <w:proofErr w:type="spellEnd"/>
      <w:r>
        <w:rPr>
          <w:bCs/>
        </w:rPr>
        <w:t xml:space="preserve"> nutrient uptake parameterization where uptake </w:t>
      </w:r>
      <w:r w:rsidRPr="000E799E">
        <w:rPr>
          <w:bCs/>
          <w:i/>
        </w:rPr>
        <w:t>V</w:t>
      </w:r>
      <w:r w:rsidRPr="000E799E">
        <w:rPr>
          <w:bCs/>
          <w:i/>
          <w:vertAlign w:val="superscript"/>
        </w:rPr>
        <w:t>S</w:t>
      </w:r>
      <w:r>
        <w:rPr>
          <w:bCs/>
        </w:rPr>
        <w:t xml:space="preserve"> dependents only on seawater nutrient concentration, a cell can alter </w:t>
      </w:r>
      <w:r w:rsidRPr="000E799E">
        <w:rPr>
          <w:bCs/>
          <w:i/>
        </w:rPr>
        <w:t>n</w:t>
      </w:r>
      <w:r>
        <w:rPr>
          <w:bCs/>
          <w:i/>
        </w:rPr>
        <w:t>,</w:t>
      </w:r>
      <w:r>
        <w:rPr>
          <w:bCs/>
        </w:rPr>
        <w:t xml:space="preserve"> which in turn allows </w:t>
      </w:r>
      <w:r w:rsidRPr="000E799E">
        <w:rPr>
          <w:bCs/>
          <w:i/>
        </w:rPr>
        <w:t>V</w:t>
      </w:r>
      <w:r w:rsidRPr="000E799E">
        <w:rPr>
          <w:bCs/>
          <w:i/>
          <w:vertAlign w:val="superscript"/>
        </w:rPr>
        <w:t>S</w:t>
      </w:r>
      <w:r>
        <w:rPr>
          <w:bCs/>
        </w:rPr>
        <w:t xml:space="preserve"> to vary depending on cell acclimation state as well as on ambient nutrient concentration.  Such flexibility allows for processes such as luxury uptake.  In oligotrophic conditions when </w:t>
      </w:r>
      <w:r w:rsidRPr="00A21371">
        <w:rPr>
          <w:bCs/>
          <w:i/>
        </w:rPr>
        <w:t>S</w:t>
      </w:r>
      <w:r>
        <w:rPr>
          <w:bCs/>
        </w:rPr>
        <w:t xml:space="preserve"> is low (denoted with the subscript ‘</w:t>
      </w:r>
      <w:proofErr w:type="spellStart"/>
      <w:r>
        <w:rPr>
          <w:bCs/>
        </w:rPr>
        <w:t>stv</w:t>
      </w:r>
      <w:proofErr w:type="spellEnd"/>
      <w:r>
        <w:rPr>
          <w:bCs/>
        </w:rPr>
        <w:t>’), uptake rate in (5) reduces to:</w:t>
      </w:r>
    </w:p>
    <w:p w14:paraId="7FF8A460" w14:textId="77777777" w:rsidR="0032151C" w:rsidRDefault="0032151C" w:rsidP="0032151C">
      <w:pPr>
        <w:rPr>
          <w:bCs/>
        </w:rPr>
      </w:pPr>
      <w:r>
        <w:rPr>
          <w:bCs/>
        </w:rPr>
        <w:t xml:space="preserve"> </w:t>
      </w:r>
      <m:oMath>
        <m:sSubSup>
          <m:sSubSupPr>
            <m:ctrlPr>
              <w:rPr>
                <w:rFonts w:ascii="Cambria Math" w:hAnsi="Cambria Math"/>
                <w:i/>
              </w:rPr>
            </m:ctrlPr>
          </m:sSubSupPr>
          <m:e>
            <m:r>
              <w:rPr>
                <w:rFonts w:ascii="Cambria Math" w:hAnsi="Cambria Math"/>
              </w:rPr>
              <m:t>V</m:t>
            </m:r>
          </m:e>
          <m:sub>
            <m:r>
              <w:rPr>
                <w:rFonts w:ascii="Cambria Math" w:hAnsi="Cambria Math"/>
              </w:rPr>
              <m:t>stv</m:t>
            </m:r>
          </m:sub>
          <m:sup>
            <m:r>
              <w:rPr>
                <w:rFonts w:ascii="Cambria Math" w:hAnsi="Cambria Math"/>
              </w:rPr>
              <m:t>S</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AkS</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(S1-3)</w:t>
      </w:r>
    </w:p>
    <w:p w14:paraId="00C6F967" w14:textId="77777777" w:rsidR="0032151C" w:rsidRDefault="0032151C" w:rsidP="0032151C">
      <w:pPr>
        <w:rPr>
          <w:bCs/>
        </w:rPr>
      </w:pPr>
      <w:r>
        <w:rPr>
          <w:bCs/>
        </w:rPr>
        <w:t>Normalized nutrient affinity (</w:t>
      </w:r>
      <w:r w:rsidRPr="007B1D98">
        <w:rPr>
          <w:bCs/>
          <w:i/>
        </w:rPr>
        <w:t>α</w:t>
      </w:r>
      <w:r>
        <w:rPr>
          <w:bCs/>
          <w:i/>
          <w:vertAlign w:val="superscript"/>
        </w:rPr>
        <w:t>S</w:t>
      </w:r>
      <w:r>
        <w:rPr>
          <w:bCs/>
        </w:rPr>
        <w:t xml:space="preserve">) is a better metric of the ability of phytoplankton to compete for nutrients, rather than either </w:t>
      </w:r>
      <w:r w:rsidRPr="00437AA0">
        <w:rPr>
          <w:bCs/>
          <w:i/>
        </w:rPr>
        <w:t>K</w:t>
      </w:r>
      <w:r w:rsidRPr="00437AA0">
        <w:rPr>
          <w:bCs/>
          <w:i/>
          <w:vertAlign w:val="superscript"/>
        </w:rPr>
        <w:t>S</w:t>
      </w:r>
      <w:r>
        <w:rPr>
          <w:bCs/>
        </w:rPr>
        <w:t xml:space="preserve"> (or </w:t>
      </w:r>
      <w:r w:rsidRPr="009063DC">
        <w:rPr>
          <w:bCs/>
          <w:i/>
        </w:rPr>
        <w:t>V</w:t>
      </w:r>
      <w:r w:rsidRPr="009063DC">
        <w:rPr>
          <w:bCs/>
          <w:i/>
          <w:vertAlign w:val="superscript"/>
        </w:rPr>
        <w:t>S</w:t>
      </w:r>
      <w:r>
        <w:rPr>
          <w:bCs/>
        </w:rPr>
        <w:t xml:space="preserve">) alone </w:t>
      </w:r>
      <w:r>
        <w:rPr>
          <w:bCs/>
        </w:rPr>
        <w:fldChar w:fldCharType="begin"/>
      </w:r>
      <w:r>
        <w:rPr>
          <w:bCs/>
        </w:rPr>
        <w:instrText xml:space="preserve"> ADDIN ZOTERO_ITEM CSL_CITATION {"citationID":"73gevs43t","properties":{"formattedCitation":"(Button, 1978; Fiksen et al., 2013)","plainCitation":"(Button, 1978; Fiksen et al., 2013)"},"citationItems":[{"id":869,"uris":["http://zotero.org/users/815468/items/QEK8ZCPM"],"uri":["http://zotero.org/users/815468/items/QEK8ZCPM"],"itemData":{"id":869,"type":"article-journal","title":"On the theory of control of microbial growth kinetics by limiting nutrient concentrations","container-title":"Deep Sea Research","page":"1163-1177","volume":"25","issue":"12","source":"ScienceDirect","abstract":"Some formulations relating nutrient concentration to nutrient transport and to nutrient-limited growth rate are derived. Experimental examples are given in which transport restricts maximal growth rate in some cases and does not affect it in others. It is demonstrated that normal variations in cell yield from substrate consumed at various growth rates can generate curvature in growth kinetic curves unrelated to saturation phenomena. Nutrient uptake and growth rate versus concentration curves are diagrammed for a range of situations, and the kinetic constants for these curves are discussed. The definition of a previously introduced term, the affinity, is sharpened and literature values compiled. It is suggested that this is one of the more useful kinetic constants for describing the kinetics of aquatic microbial processes.","DOI":"10.1016/0146-6291(78)90011-5","ISSN":"0146-6291","journalAbbreviation":"Deep Sea Research","author":[{"family":"Button","given":"D. K."}],"issued":{"date-parts":[["1978",12,1]]}}},{"id":530,"uris":["http://zotero.org/users/815468/items/GBHKQXZ8"],"uri":["http://zotero.org/users/815468/items/GBHKQXZ8"],"itemData":{"id":530,"type":"article-journal","title":"Trait-based models of nutrient uptake in microbes extend the Michaelis-Menten framework","container-title":"Limnology and Oceanography","page":"193-202","volume":"58","issue":"1","source":"Wiley Online Library","abstract":"In microbial competition theory, the Michaelis-Menten (MM) half-saturation coefficient is often considered to be a trait of an organism defining competitive strength in a trade-off conflict with maximum uptake rate. Theoretical studies have shown that a quadratic model characterizes the uptake rate, and that this model can be approximated by a MM model. Here, we review recent developments in nutrient uptake modeling with particular emphasis on cell size, uptake sites, and molecular diffusion. We quantify the bias of the MM approximation to be up to 50% in some configurations. More importantly, we find no mechanistic foundation for a trade-off conflict between the half-saturation coefficient and the maximum specific uptake rate. Measured MM coefficients need to be interpreted in an extended framework where nutrient uptake is explicitly parameterized in terms of cell size, uptake sites, and molecular diffusion. This provides a richer and more mechanistic picture of the way in which uptake rate varies with traits of the organism and environmental variables. Estimates of these key traits can be obtained from measured properties like affinity, the MM half saturation coefficient, and the maximum uptake rate. Using recent estimates of allometric scaling of MM coefficients, we find that handling time, uptake site density, and specific affinity decrease with cell size. Unlike the half-saturation coefficient, specific affinity is a consistent and meaningful measure of competitive strength of microbes, but it is not in a trade-off conflict with maximum uptake rate if the cell is surrounded by a diffusive boundary layer.","DOI":"10.4319/lo.2013.58.1.0193","ISSN":"1939-5590","journalAbbreviation":"Limnol. Oceanogr.","language":"en","author":[{"family":"Fiksen","given":"Øyvind"},{"family":"Follows","given":"Michael J."},{"family":"Aksnes","given":"Dag L."}],"issued":{"date-parts":[["2013",1,1]]}}}],"schema":"https://github.com/citation-style-language/schema/raw/master/csl-citation.json"} </w:instrText>
      </w:r>
      <w:r>
        <w:rPr>
          <w:bCs/>
        </w:rPr>
        <w:fldChar w:fldCharType="separate"/>
      </w:r>
      <w:r>
        <w:rPr>
          <w:bCs/>
          <w:noProof/>
        </w:rPr>
        <w:t>(Button, 1978; Fiksen et al., 2013)</w:t>
      </w:r>
      <w:r>
        <w:rPr>
          <w:bCs/>
        </w:rPr>
        <w:fldChar w:fldCharType="end"/>
      </w:r>
      <w:r>
        <w:rPr>
          <w:bCs/>
        </w:rPr>
        <w:t xml:space="preserve">.  Here, </w:t>
      </w:r>
      <w:r w:rsidRPr="007B1D98">
        <w:rPr>
          <w:bCs/>
          <w:i/>
        </w:rPr>
        <w:t>α</w:t>
      </w:r>
      <w:r>
        <w:rPr>
          <w:bCs/>
          <w:i/>
          <w:vertAlign w:val="superscript"/>
        </w:rPr>
        <w:t>S</w:t>
      </w:r>
      <w:r>
        <w:rPr>
          <w:bCs/>
        </w:rPr>
        <w:t xml:space="preserve"> is the initial slope of </w:t>
      </w:r>
      <w:r>
        <w:rPr>
          <w:bCs/>
          <w:i/>
        </w:rPr>
        <w:t xml:space="preserve">S </w:t>
      </w:r>
      <w:r>
        <w:rPr>
          <w:bCs/>
        </w:rPr>
        <w:t xml:space="preserve">vs </w:t>
      </w:r>
      <w:proofErr w:type="spellStart"/>
      <w:proofErr w:type="gramStart"/>
      <w:r w:rsidRPr="00373F90">
        <w:rPr>
          <w:bCs/>
          <w:i/>
        </w:rPr>
        <w:t>V</w:t>
      </w:r>
      <w:r>
        <w:rPr>
          <w:bCs/>
          <w:i/>
          <w:vertAlign w:val="superscript"/>
        </w:rPr>
        <w:t>S</w:t>
      </w:r>
      <w:proofErr w:type="spellEnd"/>
      <w:r w:rsidRPr="009234E5">
        <w:rPr>
          <w:bCs/>
          <w:vertAlign w:val="superscript"/>
        </w:rPr>
        <w:t xml:space="preserve"> </w:t>
      </w:r>
      <w:r>
        <w:rPr>
          <w:bCs/>
        </w:rPr>
        <w:t xml:space="preserve"> and</w:t>
      </w:r>
      <w:proofErr w:type="gramEnd"/>
      <w:r>
        <w:rPr>
          <w:bCs/>
        </w:rPr>
        <w:t xml:space="preserve"> is defined as:</w:t>
      </w:r>
    </w:p>
    <w:p w14:paraId="6C5AA813" w14:textId="77777777" w:rsidR="0032151C" w:rsidRDefault="0032151C" w:rsidP="0032151C">
      <w:pPr>
        <w:rPr>
          <w:bCs/>
        </w:rPr>
      </w:pPr>
      <w:r>
        <w:rPr>
          <w:bCs/>
        </w:rPr>
        <w:t xml:space="preserve"> </w:t>
      </w:r>
      <m:oMath>
        <m:sSup>
          <m:sSupPr>
            <m:ctrlPr>
              <w:rPr>
                <w:rFonts w:ascii="Cambria Math" w:hAnsi="Cambria Math"/>
                <w:bCs/>
                <w:i/>
              </w:rPr>
            </m:ctrlPr>
          </m:sSupPr>
          <m:e>
            <m:r>
              <w:rPr>
                <w:rFonts w:ascii="Cambria Math" w:hAnsi="Cambria Math"/>
              </w:rPr>
              <m:t>α</m:t>
            </m:r>
          </m:e>
          <m:sup>
            <m:r>
              <w:rPr>
                <w:rFonts w:ascii="Cambria Math" w:hAnsi="Cambria Math"/>
              </w:rPr>
              <m:t>S</m:t>
            </m:r>
          </m:sup>
        </m:sSup>
        <m:r>
          <w:rPr>
            <w:rFonts w:ascii="Cambria Math" w:hAnsi="Cambria Math"/>
          </w:rPr>
          <m:t>=</m:t>
        </m:r>
        <m:f>
          <m:fPr>
            <m:type m:val="lin"/>
            <m:ctrlPr>
              <w:rPr>
                <w:rFonts w:ascii="Cambria Math" w:hAnsi="Cambria Math"/>
                <w:bCs/>
                <w:i/>
              </w:rPr>
            </m:ctrlPr>
          </m:fPr>
          <m:num>
            <m:sSubSup>
              <m:sSubSupPr>
                <m:ctrlPr>
                  <w:rPr>
                    <w:rFonts w:ascii="Cambria Math" w:hAnsi="Cambria Math"/>
                    <w:bCs/>
                    <w:i/>
                  </w:rPr>
                </m:ctrlPr>
              </m:sSubSupPr>
              <m:e>
                <m:r>
                  <w:rPr>
                    <w:rFonts w:ascii="Cambria Math" w:hAnsi="Cambria Math"/>
                  </w:rPr>
                  <m:t>V</m:t>
                </m:r>
              </m:e>
              <m:sub/>
              <m:sup>
                <m:r>
                  <w:rPr>
                    <w:rFonts w:ascii="Cambria Math" w:hAnsi="Cambria Math"/>
                  </w:rPr>
                  <m:t>S</m:t>
                </m:r>
              </m:sup>
            </m:sSubSup>
          </m:num>
          <m:den>
            <m:r>
              <w:rPr>
                <w:rFonts w:ascii="Cambria Math" w:hAnsi="Cambria Math"/>
              </w:rPr>
              <m:t>S</m:t>
            </m:r>
          </m:den>
        </m:f>
        <m:r>
          <w:rPr>
            <w:rFonts w:ascii="Cambria Math" w:hAnsi="Cambria Math"/>
          </w:rPr>
          <m:t>∝nk∝Dr</m:t>
        </m:r>
      </m:oMath>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t>(</w:t>
      </w:r>
      <w:r>
        <w:rPr>
          <w:rFonts w:eastAsiaTheme="minorEastAsia"/>
        </w:rPr>
        <w:t>S1-4</w:t>
      </w:r>
      <w:r>
        <w:rPr>
          <w:rFonts w:eastAsiaTheme="minorEastAsia"/>
          <w:bCs/>
        </w:rPr>
        <w:t>)</w:t>
      </w:r>
    </w:p>
    <w:p w14:paraId="6CEEE1ED" w14:textId="77777777" w:rsidR="0032151C" w:rsidRDefault="0032151C" w:rsidP="0032151C">
      <w:pPr>
        <w:rPr>
          <w:bCs/>
        </w:rPr>
      </w:pPr>
      <w:r>
        <w:rPr>
          <w:bCs/>
        </w:rPr>
        <w:t xml:space="preserve">Thus, affinity is proportional to </w:t>
      </w:r>
      <w:r w:rsidRPr="003724F6">
        <w:rPr>
          <w:bCs/>
          <w:i/>
        </w:rPr>
        <w:t>r</w:t>
      </w:r>
      <w:r>
        <w:rPr>
          <w:bCs/>
        </w:rPr>
        <w:t xml:space="preserve"> and volume-normalized nutrient affinity scales as </w:t>
      </w:r>
      <w:r w:rsidRPr="00A45455">
        <w:rPr>
          <w:bCs/>
          <w:i/>
        </w:rPr>
        <w:t>r</w:t>
      </w:r>
      <w:r>
        <w:rPr>
          <w:bCs/>
          <w:vertAlign w:val="superscript"/>
        </w:rPr>
        <w:sym w:font="Symbol" w:char="F02D"/>
      </w:r>
      <w:r w:rsidRPr="00A45455">
        <w:rPr>
          <w:bCs/>
          <w:vertAlign w:val="superscript"/>
        </w:rPr>
        <w:t>2</w:t>
      </w:r>
      <w:r>
        <w:rPr>
          <w:bCs/>
        </w:rPr>
        <w:t xml:space="preserve"> and is maximum when </w:t>
      </w:r>
      <w:r w:rsidRPr="009063DC">
        <w:rPr>
          <w:bCs/>
          <w:i/>
        </w:rPr>
        <w:t>n</w:t>
      </w:r>
      <w:r>
        <w:rPr>
          <w:bCs/>
        </w:rPr>
        <w:t xml:space="preserve"> = </w:t>
      </w:r>
      <w:proofErr w:type="spellStart"/>
      <w:r w:rsidRPr="009063DC">
        <w:rPr>
          <w:bCs/>
          <w:i/>
        </w:rPr>
        <w:t>n</w:t>
      </w:r>
      <w:r w:rsidRPr="009063DC">
        <w:rPr>
          <w:bCs/>
          <w:i/>
          <w:vertAlign w:val="subscript"/>
        </w:rPr>
        <w:t>max</w:t>
      </w:r>
      <w:proofErr w:type="spellEnd"/>
      <w:r>
        <w:rPr>
          <w:bCs/>
        </w:rPr>
        <w:t xml:space="preserve">, illustrating the competitive advantage of smaller cells under low nutrient conditions. </w:t>
      </w:r>
    </w:p>
    <w:p w14:paraId="235E4499" w14:textId="77777777" w:rsidR="0032151C" w:rsidRDefault="0032151C" w:rsidP="0032151C">
      <w:pPr>
        <w:rPr>
          <w:bCs/>
        </w:rPr>
      </w:pPr>
      <w:r>
        <w:rPr>
          <w:bCs/>
        </w:rPr>
        <w:t xml:space="preserve"> When S is large (replete conditions), (5) simplifies to uptake that is limited by ion handling time:</w:t>
      </w:r>
    </w:p>
    <w:p w14:paraId="727A7307" w14:textId="77777777" w:rsidR="0032151C" w:rsidRDefault="0032151C" w:rsidP="0032151C">
      <w:pPr>
        <w:rPr>
          <w:rFonts w:eastAsiaTheme="minorEastAsia"/>
        </w:rPr>
      </w:pPr>
      <w:r>
        <w:rPr>
          <w:bCs/>
        </w:rPr>
        <w:t xml:space="preserve"> </w:t>
      </w:r>
      <m:oMath>
        <m:sSubSup>
          <m:sSubSupPr>
            <m:ctrlPr>
              <w:rPr>
                <w:rFonts w:ascii="Cambria Math" w:hAnsi="Cambria Math"/>
                <w:i/>
              </w:rPr>
            </m:ctrlPr>
          </m:sSubSupPr>
          <m:e>
            <m:r>
              <w:rPr>
                <w:rFonts w:ascii="Cambria Math" w:hAnsi="Cambria Math"/>
              </w:rPr>
              <m:t>V</m:t>
            </m:r>
          </m:e>
          <m:sub>
            <m:r>
              <w:rPr>
                <w:rFonts w:ascii="Cambria Math" w:hAnsi="Cambria Math"/>
              </w:rPr>
              <m:t>rep</m:t>
            </m:r>
          </m:sub>
          <m:sup>
            <m:r>
              <w:rPr>
                <w:rFonts w:ascii="Cambria Math" w:hAnsi="Cambria Math"/>
              </w:rPr>
              <m:t>S</m:t>
            </m:r>
          </m:sup>
        </m:sSubSup>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rep</m:t>
                </m:r>
              </m:sub>
            </m:sSub>
          </m:num>
          <m:den>
            <m:r>
              <w:rPr>
                <w:rFonts w:ascii="Cambria Math" w:hAnsi="Cambria Math"/>
              </w:rPr>
              <m:t>h</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(S1-5)</w:t>
      </w:r>
    </w:p>
    <w:p w14:paraId="5E9BBE64" w14:textId="77777777" w:rsidR="0032151C" w:rsidRDefault="0032151C" w:rsidP="0032151C">
      <w:pPr>
        <w:rPr>
          <w:bCs/>
        </w:rPr>
      </w:pPr>
      <w:r>
        <w:rPr>
          <w:bCs/>
        </w:rPr>
        <w:t>where the subscript ‘</w:t>
      </w:r>
      <w:r w:rsidRPr="009063DC">
        <w:rPr>
          <w:bCs/>
          <w:i/>
        </w:rPr>
        <w:t>rep</w:t>
      </w:r>
      <w:r>
        <w:rPr>
          <w:bCs/>
        </w:rPr>
        <w:t xml:space="preserve">’ denotes nutrient replete conditions and </w:t>
      </w:r>
      <w:proofErr w:type="spellStart"/>
      <w:r w:rsidRPr="006643D3">
        <w:rPr>
          <w:bCs/>
          <w:i/>
        </w:rPr>
        <w:t>n</w:t>
      </w:r>
      <w:r>
        <w:rPr>
          <w:bCs/>
          <w:i/>
          <w:vertAlign w:val="subscript"/>
        </w:rPr>
        <w:t>rep</w:t>
      </w:r>
      <w:proofErr w:type="spellEnd"/>
      <w:r>
        <w:rPr>
          <w:bCs/>
        </w:rPr>
        <w:t xml:space="preserve"> is the number of uptake sites required such that </w:t>
      </w:r>
      <m:oMath>
        <m:sSubSup>
          <m:sSubSupPr>
            <m:ctrlPr>
              <w:rPr>
                <w:rFonts w:ascii="Cambria Math" w:hAnsi="Cambria Math"/>
                <w:i/>
              </w:rPr>
            </m:ctrlPr>
          </m:sSubSupPr>
          <m:e>
            <m:r>
              <w:rPr>
                <w:rFonts w:ascii="Cambria Math" w:hAnsi="Cambria Math"/>
              </w:rPr>
              <m:t>V</m:t>
            </m:r>
          </m:e>
          <m:sub>
            <m:r>
              <w:rPr>
                <w:rFonts w:ascii="Cambria Math" w:hAnsi="Cambria Math"/>
              </w:rPr>
              <m:t>rep</m:t>
            </m:r>
          </m:sub>
          <m:sup>
            <m:r>
              <w:rPr>
                <w:rFonts w:ascii="Cambria Math" w:hAnsi="Cambria Math"/>
              </w:rPr>
              <m:t>S</m:t>
            </m:r>
          </m:sup>
        </m:sSubSup>
      </m:oMath>
      <w:r>
        <w:rPr>
          <w:bCs/>
        </w:rPr>
        <w:t xml:space="preserve"> satisfies the maximum biosynthetic rate (</w:t>
      </w:r>
      <m:oMath>
        <m:sSub>
          <m:sSubPr>
            <m:ctrlPr>
              <w:rPr>
                <w:rFonts w:ascii="Cambria Math" w:hAnsi="Cambria Math"/>
                <w:i/>
              </w:rPr>
            </m:ctrlPr>
          </m:sSubPr>
          <m:e>
            <m:r>
              <w:rPr>
                <w:rFonts w:ascii="Cambria Math" w:hAnsi="Cambria Math"/>
              </w:rPr>
              <m:t>v</m:t>
            </m:r>
          </m:e>
          <m:sub>
            <m:r>
              <w:rPr>
                <w:rFonts w:ascii="Cambria Math" w:hAnsi="Cambria Math"/>
              </w:rPr>
              <m:t>syn</m:t>
            </m:r>
          </m:sub>
        </m:sSub>
      </m:oMath>
      <w:r>
        <w:rPr>
          <w:bCs/>
        </w:rPr>
        <w:t xml:space="preserve">). </w:t>
      </w:r>
    </w:p>
    <w:p w14:paraId="17E3DD12" w14:textId="77777777" w:rsidR="0032151C" w:rsidRDefault="0032151C" w:rsidP="0032151C">
      <w:pPr>
        <w:rPr>
          <w:bCs/>
        </w:rPr>
      </w:pPr>
      <w:r>
        <w:rPr>
          <w:bCs/>
        </w:rPr>
        <w:tab/>
        <w:t>For nutrient uptake under dynamic conditions</w:t>
      </w:r>
      <w:r w:rsidDel="00202E42">
        <w:rPr>
          <w:bCs/>
        </w:rPr>
        <w:t xml:space="preserve"> </w:t>
      </w:r>
      <w:r>
        <w:rPr>
          <w:bCs/>
        </w:rPr>
        <w:t xml:space="preserve">environmental history and preconditioning influence uptake kinetics.  A key observation has been that nutrient starved phytoplankton, when re-exposed to replete conditions exhibit a maximum uptake rate much higher than phytoplankton that have been acclimated to replete conditions </w:t>
      </w:r>
      <w:r>
        <w:rPr>
          <w:bCs/>
        </w:rPr>
        <w:fldChar w:fldCharType="begin"/>
      </w:r>
      <w:r>
        <w:rPr>
          <w:bCs/>
        </w:rPr>
        <w:instrText xml:space="preserve"> ADDIN ZOTERO_ITEM CSL_CITATION {"citationID":"108ee97343","properties":{"formattedCitation":"(Harrison et al., 1989)","plainCitation":"(Harrison et al., 1989)"},"citationItems":[{"id":713,"uris":["http://zotero.org/users/815468/items/KUCN6SR4"],"uri":["http://zotero.org/users/815468/items/KUCN6SR4"],"itemData":{"id":713,"type":"article-journal","title":"Determination of nutrient uptake kinetic parameters: A comparison of methods.","container-title":"Marine ecology progress series. Oldendorf","page":"301–312","volume":"52","issue":"3","source":"Google Scholar","shortTitle":"Determination of nutrient uptake kinetic parameters","journalAbbreviation":"Mar. Ecol. Prog. Ser.","author":[{"family":"Harrison","given":"P. J."},{"family":"Parslow","given":"J. S."},{"family":"Conway","given":"H. L."}],"issued":{"date-parts":[["1989"]]}}}],"schema":"https://github.com/citation-style-language/schema/raw/master/csl-citation.json"} </w:instrText>
      </w:r>
      <w:r>
        <w:rPr>
          <w:bCs/>
        </w:rPr>
        <w:fldChar w:fldCharType="separate"/>
      </w:r>
      <w:r>
        <w:t>(Harrison et al., 1989)</w:t>
      </w:r>
      <w:r>
        <w:rPr>
          <w:bCs/>
        </w:rPr>
        <w:fldChar w:fldCharType="end"/>
      </w:r>
      <w:r>
        <w:rPr>
          <w:bCs/>
        </w:rPr>
        <w:t xml:space="preserve">.  Equations (8) and (10) describe uptake conditions when acclimated to nutrient starved and replete conditions, respectively.  The range of uptake site number from </w:t>
      </w:r>
      <w:proofErr w:type="spellStart"/>
      <w:r w:rsidRPr="0070756B">
        <w:rPr>
          <w:bCs/>
          <w:i/>
        </w:rPr>
        <w:t>n</w:t>
      </w:r>
      <w:r>
        <w:rPr>
          <w:bCs/>
          <w:i/>
          <w:vertAlign w:val="subscript"/>
        </w:rPr>
        <w:t>rep</w:t>
      </w:r>
      <w:proofErr w:type="spellEnd"/>
      <w:r>
        <w:rPr>
          <w:bCs/>
        </w:rPr>
        <w:t xml:space="preserve"> to </w:t>
      </w:r>
      <w:proofErr w:type="spellStart"/>
      <w:r w:rsidRPr="0070756B">
        <w:rPr>
          <w:bCs/>
          <w:i/>
        </w:rPr>
        <w:t>n</w:t>
      </w:r>
      <w:r w:rsidRPr="0070756B">
        <w:rPr>
          <w:bCs/>
          <w:i/>
          <w:vertAlign w:val="subscript"/>
        </w:rPr>
        <w:t>m</w:t>
      </w:r>
      <w:r>
        <w:rPr>
          <w:bCs/>
          <w:i/>
          <w:vertAlign w:val="subscript"/>
        </w:rPr>
        <w:t>ax</w:t>
      </w:r>
      <w:proofErr w:type="spellEnd"/>
      <w:r>
        <w:rPr>
          <w:bCs/>
        </w:rPr>
        <w:t xml:space="preserve"> represents the range of acclimation possible for a given phytoplankton cell (Fig 2).  </w:t>
      </w:r>
    </w:p>
    <w:p w14:paraId="1BA4ADBE" w14:textId="77777777" w:rsidR="0032151C" w:rsidRDefault="0032151C" w:rsidP="0032151C">
      <w:pPr>
        <w:ind w:firstLine="720"/>
        <w:rPr>
          <w:bCs/>
        </w:rPr>
      </w:pPr>
      <w:r>
        <w:rPr>
          <w:bCs/>
        </w:rPr>
        <w:t xml:space="preserve">For a given </w:t>
      </w:r>
      <w:r w:rsidRPr="00A83985">
        <w:rPr>
          <w:bCs/>
          <w:i/>
        </w:rPr>
        <w:t>n</w:t>
      </w:r>
      <w:r>
        <w:rPr>
          <w:bCs/>
        </w:rPr>
        <w:t xml:space="preserve">, </w:t>
      </w:r>
      <m:oMath>
        <m:sSubSup>
          <m:sSubSupPr>
            <m:ctrlPr>
              <w:rPr>
                <w:rFonts w:ascii="Cambria Math" w:hAnsi="Cambria Math"/>
                <w:i/>
              </w:rPr>
            </m:ctrlPr>
          </m:sSubSupPr>
          <m:e>
            <m:r>
              <w:rPr>
                <w:rFonts w:ascii="Cambria Math" w:hAnsi="Cambria Math"/>
              </w:rPr>
              <m:t>V</m:t>
            </m:r>
          </m:e>
          <m:sub/>
          <m:sup>
            <m:r>
              <w:rPr>
                <w:rFonts w:ascii="Cambria Math" w:hAnsi="Cambria Math"/>
              </w:rPr>
              <m:t>S</m:t>
            </m:r>
          </m:sup>
        </m:sSubSup>
      </m:oMath>
      <w:r>
        <w:rPr>
          <w:bCs/>
        </w:rPr>
        <w:t xml:space="preserve"> can be rearranged to a familiar Michaelis-Menten form </w:t>
      </w:r>
      <w:r>
        <w:rPr>
          <w:bCs/>
        </w:rPr>
        <w:fldChar w:fldCharType="begin"/>
      </w:r>
      <w:r>
        <w:rPr>
          <w:bCs/>
        </w:rPr>
        <w:instrText xml:space="preserve"> ADDIN ZOTERO_ITEM CSL_CITATION {"citationID":"26og34ghs7","properties":{"formattedCitation":"(Aksnes and Egge, 1991)","plainCitation":"(Aksnes and Egge, 1991)"},"citationItems":[{"id":333,"uris":["http://zotero.org/users/815468/items/AZBG9576"],"uri":["http://zotero.org/users/815468/items/AZBG9576"],"itemData":{"id":333,"type":"article-journal","title":"A theoretical model for nutrient uptake in phytoplankton.","container-title":"Marine ecology progress series. Oldendorf","page":"65–72","volume":"70","issue":"1","source":"Google Scholar","ISSN":"0171-8630","journalAbbreviation":"Mar. Ecol. Prog. Ser.","author":[{"family":"Aksnes","given":"D. L."},{"family":"Egge","given":"J. K."}],"issued":{"date-parts":[["1991"]]}}}],"schema":"https://github.com/citation-style-language/schema/raw/master/csl-citation.json"} </w:instrText>
      </w:r>
      <w:r>
        <w:rPr>
          <w:bCs/>
        </w:rPr>
        <w:fldChar w:fldCharType="separate"/>
      </w:r>
      <w:r>
        <w:rPr>
          <w:bCs/>
          <w:noProof/>
        </w:rPr>
        <w:t>(Aksnes and Egge, 1991)</w:t>
      </w:r>
      <w:r>
        <w:rPr>
          <w:bCs/>
        </w:rPr>
        <w:fldChar w:fldCharType="end"/>
      </w:r>
      <w:r>
        <w:rPr>
          <w:bCs/>
        </w:rPr>
        <w:t xml:space="preserve"> such that:</w:t>
      </w:r>
    </w:p>
    <w:p w14:paraId="17AA2054" w14:textId="77777777" w:rsidR="0032151C" w:rsidRDefault="0032151C" w:rsidP="0032151C">
      <w:pPr>
        <w:rPr>
          <w:bCs/>
        </w:rPr>
      </w:pPr>
      <m:oMath>
        <m:sSubSup>
          <m:sSubSupPr>
            <m:ctrlPr>
              <w:rPr>
                <w:rFonts w:ascii="Cambria Math" w:hAnsi="Cambria Math"/>
                <w:i/>
              </w:rPr>
            </m:ctrlPr>
          </m:sSubSupPr>
          <m:e>
            <m:r>
              <w:rPr>
                <w:rFonts w:ascii="Cambria Math" w:hAnsi="Cambria Math"/>
              </w:rPr>
              <m:t>V</m:t>
            </m:r>
          </m:e>
          <m:sub/>
          <m:sup>
            <m:r>
              <w:rPr>
                <w:rFonts w:ascii="Cambria Math" w:hAnsi="Cambria Math"/>
              </w:rPr>
              <m:t>S</m:t>
            </m:r>
          </m:sup>
        </m:sSubSup>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h</m:t>
            </m:r>
          </m:den>
        </m:f>
        <m:f>
          <m:fPr>
            <m:ctrlPr>
              <w:rPr>
                <w:rFonts w:ascii="Cambria Math" w:hAnsi="Cambria Math"/>
                <w:i/>
              </w:rPr>
            </m:ctrlPr>
          </m:fPr>
          <m:num>
            <m:r>
              <w:rPr>
                <w:rFonts w:ascii="Cambria Math" w:hAnsi="Cambria Math"/>
              </w:rPr>
              <m:t>S</m:t>
            </m:r>
          </m:num>
          <m:den>
            <m:sSup>
              <m:sSupPr>
                <m:ctrlPr>
                  <w:rPr>
                    <w:rFonts w:ascii="Cambria Math" w:hAnsi="Cambria Math"/>
                    <w:i/>
                  </w:rPr>
                </m:ctrlPr>
              </m:sSupPr>
              <m:e>
                <m:d>
                  <m:dPr>
                    <m:ctrlPr>
                      <w:rPr>
                        <w:rFonts w:ascii="Cambria Math" w:hAnsi="Cambria Math"/>
                        <w:i/>
                      </w:rPr>
                    </m:ctrlPr>
                  </m:dPr>
                  <m:e>
                    <m:r>
                      <w:rPr>
                        <w:rFonts w:ascii="Cambria Math" w:hAnsi="Cambria Math"/>
                      </w:rPr>
                      <m:t>Akh</m:t>
                    </m:r>
                  </m:e>
                </m:d>
              </m:e>
              <m:sup>
                <m:r>
                  <w:rPr>
                    <w:rFonts w:ascii="Cambria Math" w:hAnsi="Cambria Math"/>
                  </w:rPr>
                  <m:t>-1</m:t>
                </m:r>
              </m:sup>
            </m:sSup>
            <m:r>
              <w:rPr>
                <w:rFonts w:ascii="Cambria Math" w:hAnsi="Cambria Math"/>
              </w:rPr>
              <m:t>+S</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(S1-6)</w:t>
      </w:r>
    </w:p>
    <w:p w14:paraId="74A6E2DF" w14:textId="77777777" w:rsidR="0032151C" w:rsidRDefault="0032151C" w:rsidP="0032151C">
      <w:pPr>
        <w:rPr>
          <w:bCs/>
        </w:rPr>
      </w:pPr>
      <w:r>
        <w:rPr>
          <w:bCs/>
        </w:rPr>
        <w:t xml:space="preserve">with a maximum uptake rate </w:t>
      </w:r>
      <m:oMath>
        <m:sSubSup>
          <m:sSubSupPr>
            <m:ctrlPr>
              <w:rPr>
                <w:rFonts w:ascii="Cambria Math" w:hAnsi="Cambria Math"/>
                <w:i/>
              </w:rPr>
            </m:ctrlPr>
          </m:sSubSupPr>
          <m:e>
            <m:r>
              <w:rPr>
                <w:rFonts w:ascii="Cambria Math" w:hAnsi="Cambria Math"/>
              </w:rPr>
              <m:t>V</m:t>
            </m:r>
          </m:e>
          <m:sub>
            <m:r>
              <w:rPr>
                <w:rFonts w:ascii="Cambria Math" w:hAnsi="Cambria Math"/>
              </w:rPr>
              <m:t>max</m:t>
            </m:r>
          </m:sub>
          <m:sup>
            <m:r>
              <w:rPr>
                <w:rFonts w:ascii="Cambria Math" w:hAnsi="Cambria Math"/>
              </w:rPr>
              <m:t>S</m:t>
            </m:r>
          </m:sup>
        </m:sSubSup>
        <m:r>
          <w:rPr>
            <w:rFonts w:ascii="Cambria Math" w:hAnsi="Cambria Math"/>
          </w:rPr>
          <m:t>=</m:t>
        </m:r>
        <m:f>
          <m:fPr>
            <m:type m:val="lin"/>
            <m:ctrlPr>
              <w:rPr>
                <w:rFonts w:ascii="Cambria Math" w:hAnsi="Cambria Math"/>
                <w:i/>
              </w:rPr>
            </m:ctrlPr>
          </m:fPr>
          <m:num>
            <m:r>
              <w:rPr>
                <w:rFonts w:ascii="Cambria Math" w:hAnsi="Cambria Math"/>
              </w:rPr>
              <m:t>n</m:t>
            </m:r>
          </m:num>
          <m:den>
            <m:r>
              <w:rPr>
                <w:rFonts w:ascii="Cambria Math" w:hAnsi="Cambria Math"/>
              </w:rPr>
              <m:t>h</m:t>
            </m:r>
          </m:den>
        </m:f>
      </m:oMath>
      <w:r>
        <w:rPr>
          <w:rFonts w:eastAsiaTheme="minorEastAsia"/>
        </w:rPr>
        <w:t xml:space="preserve"> and half saturation for uptake of </w:t>
      </w:r>
      <w:r w:rsidRPr="00437AA0">
        <w:rPr>
          <w:bCs/>
          <w:i/>
        </w:rPr>
        <w:t>K</w:t>
      </w:r>
      <w:r w:rsidRPr="00437AA0">
        <w:rPr>
          <w:bCs/>
          <w:i/>
          <w:vertAlign w:val="superscript"/>
        </w:rPr>
        <w:t>S</w:t>
      </w:r>
      <w:r>
        <w:rPr>
          <w:bCs/>
          <w:i/>
          <w:vertAlign w:val="superscript"/>
        </w:rPr>
        <w:t xml:space="preserve"> </w:t>
      </w:r>
      <w:r>
        <w:rPr>
          <w:bCs/>
        </w:rPr>
        <w:t>= 1/(</w:t>
      </w:r>
      <w:proofErr w:type="spellStart"/>
      <w:r w:rsidRPr="00E47D04">
        <w:rPr>
          <w:bCs/>
          <w:i/>
        </w:rPr>
        <w:t>Akh</w:t>
      </w:r>
      <w:proofErr w:type="spellEnd"/>
      <w:r>
        <w:rPr>
          <w:bCs/>
        </w:rPr>
        <w:t xml:space="preserve">).  </w:t>
      </w:r>
    </w:p>
    <w:p w14:paraId="415A733B" w14:textId="77777777" w:rsidR="0032151C" w:rsidRPr="009063DC" w:rsidRDefault="0032151C" w:rsidP="0032151C">
      <w:pPr>
        <w:ind w:firstLine="720"/>
        <w:rPr>
          <w:rFonts w:eastAsiaTheme="minorEastAsia"/>
        </w:rPr>
      </w:pPr>
      <w:r>
        <w:rPr>
          <w:bCs/>
        </w:rPr>
        <w:t>Under balanced growth conditions, nutrient uptake is equal to the product of growth rate and cell quota (</w:t>
      </w:r>
      <m:oMath>
        <m:sSubSup>
          <m:sSubSupPr>
            <m:ctrlPr>
              <w:rPr>
                <w:rFonts w:ascii="Cambria Math" w:hAnsi="Cambria Math"/>
                <w:i/>
              </w:rPr>
            </m:ctrlPr>
          </m:sSubSupPr>
          <m:e>
            <m:r>
              <w:rPr>
                <w:rFonts w:ascii="Cambria Math" w:hAnsi="Cambria Math"/>
              </w:rPr>
              <m:t>V</m:t>
            </m:r>
          </m:e>
          <m:sub/>
          <m:sup>
            <m:r>
              <w:rPr>
                <w:rFonts w:ascii="Cambria Math" w:hAnsi="Cambria Math"/>
              </w:rPr>
              <m:t>S</m:t>
            </m:r>
          </m:sup>
        </m:sSubSup>
        <m:r>
          <w:rPr>
            <w:rFonts w:ascii="Cambria Math" w:hAnsi="Cambria Math"/>
          </w:rPr>
          <m:t>=</m:t>
        </m:r>
        <m:sSup>
          <m:sSupPr>
            <m:ctrlPr>
              <w:rPr>
                <w:rFonts w:ascii="Cambria Math" w:hAnsi="Cambria Math"/>
                <w:i/>
              </w:rPr>
            </m:ctrlPr>
          </m:sSupPr>
          <m:e>
            <m:r>
              <w:rPr>
                <w:rFonts w:ascii="Cambria Math" w:hAnsi="Cambria Math"/>
              </w:rPr>
              <m:t>μQ</m:t>
            </m:r>
          </m:e>
          <m:sup>
            <m:r>
              <w:rPr>
                <w:rFonts w:ascii="Cambria Math" w:hAnsi="Cambria Math"/>
              </w:rPr>
              <m:t>S</m:t>
            </m:r>
          </m:sup>
        </m:sSup>
      </m:oMath>
      <w:r>
        <w:rPr>
          <w:rFonts w:eastAsiaTheme="minorEastAsia"/>
        </w:rPr>
        <w:t xml:space="preserve">) </w:t>
      </w:r>
      <w:r>
        <w:rPr>
          <w:bCs/>
        </w:rPr>
        <w:fldChar w:fldCharType="begin"/>
      </w:r>
      <w:r>
        <w:rPr>
          <w:bCs/>
        </w:rPr>
        <w:instrText xml:space="preserve"> ADDIN ZOTERO_ITEM CSL_CITATION {"citationID":"d9yNJMFv","properties":{"formattedCitation":"(Droop, 1968, 1973, 1974)","plainCitation":"(Droop, 1968, 1973, 1974)"},"citationItems":[{"id":1116,"uris":["http://zotero.org/users/815468/items/WMEFATXX"],"uri":["http://zotero.org/users/815468/items/WMEFATXX"],"itemData":{"id":1116,"type":"article-journal","title":"Vitamin B12 and marine ecology IV. The kinetics of uptake, growth and inhibition in &lt;i&gt;Monochrysis Lutheri&lt;/i&gt;","container-title":"Journal of the Marine Biological Association of the United Kingdom","page":"689-733","volume":"48","issue":"03","source":"Cambridge Journals Online","abstract":"57Co-labelled vitamin B12 was used to study the kinetics of vitamin B12 limitation in Monochrysis lutheri in continuous and exponentially growing batch cultures and in washed cell suspensions.","DOI":"10.1017/S0025315400019238","journalAbbreviation":"J. Mar. Biol. Assoc. U.K.","author":[{"family":"Droop","given":"M. R."}],"issued":{"date-parts":[["1968"]]}}},{"id":198,"uris":["http://zotero.org/users/815468/items/7B82CD47"],"uri":["http://zotero.org/users/815468/items/7B82CD47"],"itemData":{"id":198,"type":"article-journal","title":"Some thoughts on nutrient limitation in algae","container-title":"Journal of Phycology","page":"264–272","volume":"9","issue":"3","source":"Wiley Online Library","abstract":"An empirical relation relating specific growth, rate in steady state systems to nutrient status with respect to more than one nutrient simultaneously is proposed, based on 3 experimentally verifiable postulates: (1) that uptake depends on the external substrate concentration; (2) that growth depends on the interval substrate concentration; and (3) in a steady state system specific rate of uptake (in the absence of significant, excretion) is necessarily the product of the specific growth rate and internal substrate concentration. The implications of this model are discussed in particular in respect to the concept of luxury consumption and Liebig's law of minimum. Some aspects of uptake in transient situations are also discussed.","DOI":"10.1111/j.1529-8817.1973.tb04092.x","ISSN":"1529-8817","journalAbbreviation":"J. Phycol.","language":"en","author":[{"family":"Droop","given":"M. R."}],"issued":{"date-parts":[["1973"]]}}},{"id":924,"uris":["http://zotero.org/users/815468/items/RTTPT7J8"],"uri":["http://zotero.org/users/815468/items/RTTPT7J8"],"itemData":{"id":924,"type":"article-journal","title":"The nutrient status of algal cells in continuous culture","container-title":"Journal of the Marine Biological Association of the United Kingdom","page":"825-855","volume":"54","issue":"04","source":"Cambridge Journals Online","DOI":"10.1017/S002531540005760X","journalAbbreviation":"J. Mar. Biol. Assoc. U.K.","author":[{"family":"Droop","given":"M.R."}],"issued":{"date-parts":[["1974"]]}}}],"schema":"https://github.com/citation-style-language/schema/raw/master/csl-citation.json"} </w:instrText>
      </w:r>
      <w:r>
        <w:rPr>
          <w:bCs/>
        </w:rPr>
        <w:fldChar w:fldCharType="separate"/>
      </w:r>
      <w:r>
        <w:t>(Droop, 1968, 1973, 1974)</w:t>
      </w:r>
      <w:r>
        <w:rPr>
          <w:bCs/>
        </w:rPr>
        <w:fldChar w:fldCharType="end"/>
      </w:r>
      <w:r>
        <w:rPr>
          <w:rFonts w:eastAsiaTheme="minorEastAsia"/>
        </w:rPr>
        <w:t xml:space="preserve">.  The quota term, </w:t>
      </w:r>
      <w:r w:rsidRPr="00C468D6">
        <w:rPr>
          <w:bCs/>
          <w:i/>
        </w:rPr>
        <w:t>Q</w:t>
      </w:r>
      <w:r w:rsidRPr="00C468D6">
        <w:rPr>
          <w:bCs/>
          <w:i/>
          <w:vertAlign w:val="superscript"/>
        </w:rPr>
        <w:t>S</w:t>
      </w:r>
      <w:r>
        <w:rPr>
          <w:bCs/>
        </w:rPr>
        <w:t>, in PCAM can vary from a maximum value (</w:t>
      </w:r>
      <m:oMath>
        <m:sSubSup>
          <m:sSubSupPr>
            <m:ctrlPr>
              <w:rPr>
                <w:rFonts w:ascii="Cambria Math" w:hAnsi="Cambria Math"/>
                <w:bCs/>
                <w:i/>
              </w:rPr>
            </m:ctrlPr>
          </m:sSubSupPr>
          <m:e>
            <m:r>
              <w:rPr>
                <w:rFonts w:ascii="Cambria Math" w:hAnsi="Cambria Math"/>
              </w:rPr>
              <m:t>Q</m:t>
            </m:r>
          </m:e>
          <m:sub>
            <m:r>
              <w:rPr>
                <w:rFonts w:ascii="Cambria Math" w:hAnsi="Cambria Math"/>
              </w:rPr>
              <m:t>rep</m:t>
            </m:r>
          </m:sub>
          <m:sup>
            <m:r>
              <w:rPr>
                <w:rFonts w:ascii="Cambria Math" w:hAnsi="Cambria Math"/>
              </w:rPr>
              <m:t>S</m:t>
            </m:r>
          </m:sup>
        </m:sSubSup>
        <m:r>
          <w:rPr>
            <w:rFonts w:ascii="Cambria Math" w:hAnsi="Cambria Math"/>
          </w:rPr>
          <m:t>)</m:t>
        </m:r>
        <m:r>
          <w:rPr>
            <w:rFonts w:ascii="Cambria Math" w:eastAsiaTheme="minorEastAsia" w:hAnsi="Cambria Math"/>
          </w:rPr>
          <m:t xml:space="preserve"> </m:t>
        </m:r>
      </m:oMath>
      <w:r>
        <w:rPr>
          <w:bCs/>
        </w:rPr>
        <w:t>at full allocation to PSA and RIB to a theoretical minimum value, with zero allocation to PSA and RIB (</w:t>
      </w:r>
      <m:oMath>
        <m:sSubSup>
          <m:sSubSupPr>
            <m:ctrlPr>
              <w:rPr>
                <w:rFonts w:ascii="Cambria Math" w:hAnsi="Cambria Math"/>
                <w:bCs/>
                <w:i/>
              </w:rPr>
            </m:ctrlPr>
          </m:sSubSupPr>
          <m:e>
            <m:r>
              <w:rPr>
                <w:rFonts w:ascii="Cambria Math" w:hAnsi="Cambria Math"/>
              </w:rPr>
              <m:t>Q</m:t>
            </m:r>
          </m:e>
          <m:sub>
            <m:r>
              <w:rPr>
                <w:rFonts w:ascii="Cambria Math" w:hAnsi="Cambria Math"/>
              </w:rPr>
              <m:t>stv</m:t>
            </m:r>
          </m:sub>
          <m:sup>
            <m:r>
              <w:rPr>
                <w:rFonts w:ascii="Cambria Math" w:hAnsi="Cambria Math"/>
              </w:rPr>
              <m:t>S</m:t>
            </m:r>
          </m:sup>
        </m:sSubSup>
        <m:r>
          <w:rPr>
            <w:rFonts w:ascii="Cambria Math" w:hAnsi="Cambria Math"/>
          </w:rPr>
          <m:t>)</m:t>
        </m:r>
      </m:oMath>
      <w:r>
        <w:rPr>
          <w:bCs/>
        </w:rPr>
        <w:t>.</w:t>
      </w:r>
      <w:r>
        <w:rPr>
          <w:rFonts w:eastAsiaTheme="minorEastAsia"/>
        </w:rPr>
        <w:t xml:space="preserve"> </w:t>
      </w:r>
      <w:r>
        <w:rPr>
          <w:bCs/>
        </w:rPr>
        <w:t xml:space="preserve">Morel </w:t>
      </w:r>
      <w:r>
        <w:rPr>
          <w:bCs/>
        </w:rPr>
        <w:fldChar w:fldCharType="begin"/>
      </w:r>
      <w:r>
        <w:rPr>
          <w:bCs/>
        </w:rPr>
        <w:instrText xml:space="preserve"> ADDIN ZOTERO_ITEM CSL_CITATION {"citationID":"z51VgwEo","properties":{"formattedCitation":"(1987)","plainCitation":"(1987)"},"citationItems":[{"id":754,"uris":["http://zotero.org/users/815468/items/MN8Z5CCJ"],"uri":["http://zotero.org/users/815468/items/MN8Z5CCJ"],"itemData":{"id":754,"type":"article-journal","title":"Kinetics of nutrient uptake and growth in phytoplankton","container-title":"Journal of Phycology","page":"137-150","volume":"23","issue":"1","source":"Wiley Online Library","abstract":"Microscopic algae ran grow rapidly in natural waters that are extremely low in essential macro and micro nutrients. Yet, their nutrient uptake systems exhibit only mediocre nutrient affinities, the saturation constants being often 10–1000 times the (estimated) ambient concentrations. The large difference which exists between the saturation constants for growth (Kμ) and short term uptake (Kρ) are due to the acclimation capabilities of the organisms. Over the acclimation range, Kμ to Kρ, the algae can maintain maximum growth rate by modulating both their internal nutrient quotas (Q) and their maximum short term nutrient uptake rates (ρmax) in response to variations in external nutrient concentrations. The commonly assumed hyperbolic relationships for steady growth and uptake (viz “chemostat theory”) are coherent with a hyperbolic expression for short term uptake including a variable maximum (ρmax). The ratio of the saturation constants for growth and uptake is then directly related to the extreme in quotas and maximum uptake rates:","DOI":"10.1111/j.0022-3646.1987.00137.x","ISSN":"1529-8817","journalAbbreviation":"J. Phycol.","language":"en","author":[{"family":"Morel","given":"François M. M"}],"issued":{"date-parts":[["1987",3,1]]}},"suppress-author":true}],"schema":"https://github.com/citation-style-language/schema/raw/master/csl-citation.json"} </w:instrText>
      </w:r>
      <w:r>
        <w:rPr>
          <w:bCs/>
        </w:rPr>
        <w:fldChar w:fldCharType="separate"/>
      </w:r>
      <w:r>
        <w:rPr>
          <w:bCs/>
          <w:noProof/>
        </w:rPr>
        <w:t>(1987)</w:t>
      </w:r>
      <w:r>
        <w:rPr>
          <w:bCs/>
        </w:rPr>
        <w:fldChar w:fldCharType="end"/>
      </w:r>
      <w:r>
        <w:rPr>
          <w:bCs/>
        </w:rPr>
        <w:t xml:space="preserve"> stressed that acclimation in which </w:t>
      </w:r>
      <w:r w:rsidRPr="00C468D6">
        <w:rPr>
          <w:bCs/>
          <w:i/>
        </w:rPr>
        <w:t>Q</w:t>
      </w:r>
      <w:r w:rsidRPr="00C468D6">
        <w:rPr>
          <w:bCs/>
          <w:i/>
          <w:vertAlign w:val="superscript"/>
        </w:rPr>
        <w:t>S</w:t>
      </w:r>
      <w:r>
        <w:rPr>
          <w:bCs/>
        </w:rPr>
        <w:t xml:space="preserve"> decreases with decreasing growth rate has the implication that the half saturation constant for growth (</w:t>
      </w:r>
      <m:oMath>
        <m:sSubSup>
          <m:sSubSupPr>
            <m:ctrlPr>
              <w:rPr>
                <w:rFonts w:ascii="Cambria Math" w:hAnsi="Cambria Math"/>
                <w:i/>
              </w:rPr>
            </m:ctrlPr>
          </m:sSubSupPr>
          <m:e>
            <m:r>
              <w:rPr>
                <w:rFonts w:ascii="Cambria Math" w:hAnsi="Cambria Math"/>
              </w:rPr>
              <m:t>K</m:t>
            </m:r>
          </m:e>
          <m:sub>
            <m:r>
              <w:rPr>
                <w:rFonts w:ascii="Cambria Math" w:hAnsi="Cambria Math"/>
              </w:rPr>
              <m:t>μ</m:t>
            </m:r>
          </m:sub>
          <m:sup>
            <m:r>
              <w:rPr>
                <w:rFonts w:ascii="Cambria Math" w:hAnsi="Cambria Math"/>
              </w:rPr>
              <m:t>S</m:t>
            </m:r>
          </m:sup>
        </m:sSubSup>
        <m:r>
          <w:rPr>
            <w:rFonts w:ascii="Cambria Math" w:hAnsi="Cambria Math"/>
          </w:rPr>
          <m:t xml:space="preserve"> </m:t>
        </m:r>
      </m:oMath>
      <w:r>
        <w:rPr>
          <w:bCs/>
        </w:rPr>
        <w:t>) is significantly lower than the half saturation for instantaneous uptake (</w:t>
      </w:r>
      <w:r w:rsidRPr="00D55CE5">
        <w:rPr>
          <w:bCs/>
          <w:i/>
        </w:rPr>
        <w:t>K</w:t>
      </w:r>
      <w:r w:rsidRPr="00D55CE5">
        <w:rPr>
          <w:bCs/>
          <w:i/>
          <w:vertAlign w:val="superscript"/>
        </w:rPr>
        <w:t>S</w:t>
      </w:r>
      <w:r>
        <w:rPr>
          <w:bCs/>
        </w:rPr>
        <w:t xml:space="preserve">).  Morel derived a general relationship between </w:t>
      </w:r>
      <w:r w:rsidRPr="00452F67">
        <w:rPr>
          <w:bCs/>
          <w:i/>
        </w:rPr>
        <w:t>K</w:t>
      </w:r>
      <w:r w:rsidRPr="00452F67">
        <w:rPr>
          <w:bCs/>
          <w:i/>
          <w:vertAlign w:val="superscript"/>
        </w:rPr>
        <w:t>S</w:t>
      </w:r>
      <w:r>
        <w:rPr>
          <w:bCs/>
        </w:rPr>
        <w:t xml:space="preserve"> and </w:t>
      </w:r>
      <m:oMath>
        <m:sSubSup>
          <m:sSubSupPr>
            <m:ctrlPr>
              <w:rPr>
                <w:rFonts w:ascii="Cambria Math" w:hAnsi="Cambria Math"/>
                <w:i/>
              </w:rPr>
            </m:ctrlPr>
          </m:sSubSupPr>
          <m:e>
            <m:r>
              <w:rPr>
                <w:rFonts w:ascii="Cambria Math" w:hAnsi="Cambria Math"/>
              </w:rPr>
              <m:t>K</m:t>
            </m:r>
          </m:e>
          <m:sub>
            <m:r>
              <w:rPr>
                <w:rFonts w:ascii="Cambria Math" w:hAnsi="Cambria Math"/>
              </w:rPr>
              <m:t>μ</m:t>
            </m:r>
          </m:sub>
          <m:sup>
            <m:r>
              <w:rPr>
                <w:rFonts w:ascii="Cambria Math" w:hAnsi="Cambria Math"/>
              </w:rPr>
              <m:t>S</m:t>
            </m:r>
          </m:sup>
        </m:sSubSup>
      </m:oMath>
      <w:r>
        <w:rPr>
          <w:bCs/>
        </w:rPr>
        <w:t xml:space="preserve"> such that:</w:t>
      </w:r>
    </w:p>
    <w:p w14:paraId="46037FC4" w14:textId="77777777" w:rsidR="0032151C" w:rsidRPr="002076AC" w:rsidRDefault="0032151C" w:rsidP="0032151C">
      <w:pPr>
        <w:ind w:firstLine="720"/>
        <w:rPr>
          <w:rFonts w:eastAsiaTheme="minorEastAsia"/>
          <w:bCs/>
        </w:rPr>
      </w:pPr>
      <m:oMath>
        <m:f>
          <m:fPr>
            <m:ctrlPr>
              <w:rPr>
                <w:rFonts w:ascii="Cambria Math" w:hAnsi="Cambria Math"/>
                <w:bCs/>
                <w:i/>
              </w:rPr>
            </m:ctrlPr>
          </m:fPr>
          <m:num>
            <m:sSubSup>
              <m:sSubSupPr>
                <m:ctrlPr>
                  <w:rPr>
                    <w:rFonts w:ascii="Cambria Math" w:hAnsi="Cambria Math"/>
                    <w:bCs/>
                    <w:i/>
                  </w:rPr>
                </m:ctrlPr>
              </m:sSubSupPr>
              <m:e>
                <m:r>
                  <w:rPr>
                    <w:rFonts w:ascii="Cambria Math" w:hAnsi="Cambria Math"/>
                  </w:rPr>
                  <m:t>K</m:t>
                </m:r>
              </m:e>
              <m:sub>
                <m:r>
                  <w:rPr>
                    <w:rFonts w:ascii="Cambria Math" w:hAnsi="Cambria Math"/>
                  </w:rPr>
                  <m:t>μ</m:t>
                </m:r>
              </m:sub>
              <m:sup>
                <m:r>
                  <w:rPr>
                    <w:rFonts w:ascii="Cambria Math" w:hAnsi="Cambria Math"/>
                  </w:rPr>
                  <m:t>S</m:t>
                </m:r>
              </m:sup>
            </m:sSubSup>
          </m:num>
          <m:den>
            <m:sSup>
              <m:sSupPr>
                <m:ctrlPr>
                  <w:rPr>
                    <w:rFonts w:ascii="Cambria Math" w:hAnsi="Cambria Math"/>
                    <w:bCs/>
                    <w:i/>
                  </w:rPr>
                </m:ctrlPr>
              </m:sSupPr>
              <m:e>
                <m:r>
                  <w:rPr>
                    <w:rFonts w:ascii="Cambria Math" w:hAnsi="Cambria Math"/>
                  </w:rPr>
                  <m:t>K</m:t>
                </m:r>
              </m:e>
              <m:sup>
                <m:r>
                  <w:rPr>
                    <w:rFonts w:ascii="Cambria Math" w:hAnsi="Cambria Math"/>
                  </w:rPr>
                  <m:t>S</m:t>
                </m:r>
              </m:sup>
            </m:sSup>
          </m:den>
        </m:f>
        <m:r>
          <w:rPr>
            <w:rFonts w:ascii="Cambria Math" w:hAnsi="Cambria Math"/>
          </w:rPr>
          <m:t>=</m:t>
        </m:r>
        <m:f>
          <m:fPr>
            <m:ctrlPr>
              <w:rPr>
                <w:rFonts w:ascii="Cambria Math" w:hAnsi="Cambria Math"/>
                <w:bCs/>
                <w:i/>
              </w:rPr>
            </m:ctrlPr>
          </m:fPr>
          <m:num>
            <m:sSubSup>
              <m:sSubSupPr>
                <m:ctrlPr>
                  <w:rPr>
                    <w:rFonts w:ascii="Cambria Math" w:hAnsi="Cambria Math"/>
                    <w:bCs/>
                    <w:i/>
                  </w:rPr>
                </m:ctrlPr>
              </m:sSubSupPr>
              <m:e>
                <m:r>
                  <w:rPr>
                    <w:rFonts w:ascii="Cambria Math" w:hAnsi="Cambria Math"/>
                  </w:rPr>
                  <m:t>V</m:t>
                </m:r>
              </m:e>
              <m:sub>
                <m:r>
                  <w:rPr>
                    <w:rFonts w:ascii="Cambria Math" w:hAnsi="Cambria Math"/>
                  </w:rPr>
                  <m:t>max-stv</m:t>
                </m:r>
              </m:sub>
              <m:sup>
                <m:r>
                  <w:rPr>
                    <w:rFonts w:ascii="Cambria Math" w:hAnsi="Cambria Math"/>
                  </w:rPr>
                  <m:t>S</m:t>
                </m:r>
              </m:sup>
            </m:sSubSup>
          </m:num>
          <m:den>
            <m:sSubSup>
              <m:sSubSupPr>
                <m:ctrlPr>
                  <w:rPr>
                    <w:rFonts w:ascii="Cambria Math" w:hAnsi="Cambria Math"/>
                    <w:bCs/>
                    <w:i/>
                  </w:rPr>
                </m:ctrlPr>
              </m:sSubSupPr>
              <m:e>
                <m:r>
                  <w:rPr>
                    <w:rFonts w:ascii="Cambria Math" w:hAnsi="Cambria Math"/>
                  </w:rPr>
                  <m:t>V</m:t>
                </m:r>
              </m:e>
              <m:sub>
                <m:r>
                  <w:rPr>
                    <w:rFonts w:ascii="Cambria Math" w:hAnsi="Cambria Math"/>
                  </w:rPr>
                  <m:t>max-rep</m:t>
                </m:r>
              </m:sub>
              <m:sup>
                <m:r>
                  <w:rPr>
                    <w:rFonts w:ascii="Cambria Math" w:hAnsi="Cambria Math"/>
                  </w:rPr>
                  <m:t>S</m:t>
                </m:r>
              </m:sup>
            </m:sSubSup>
          </m:den>
        </m:f>
        <m:f>
          <m:fPr>
            <m:ctrlPr>
              <w:rPr>
                <w:rFonts w:ascii="Cambria Math" w:hAnsi="Cambria Math"/>
                <w:bCs/>
                <w:i/>
              </w:rPr>
            </m:ctrlPr>
          </m:fPr>
          <m:num>
            <m:sSubSup>
              <m:sSubSupPr>
                <m:ctrlPr>
                  <w:rPr>
                    <w:rFonts w:ascii="Cambria Math" w:hAnsi="Cambria Math"/>
                    <w:bCs/>
                    <w:i/>
                  </w:rPr>
                </m:ctrlPr>
              </m:sSubSupPr>
              <m:e>
                <m:r>
                  <w:rPr>
                    <w:rFonts w:ascii="Cambria Math" w:hAnsi="Cambria Math"/>
                  </w:rPr>
                  <m:t>Q</m:t>
                </m:r>
              </m:e>
              <m:sub>
                <m:r>
                  <w:rPr>
                    <w:rFonts w:ascii="Cambria Math" w:hAnsi="Cambria Math"/>
                  </w:rPr>
                  <m:t>stv</m:t>
                </m:r>
              </m:sub>
              <m:sup>
                <m:r>
                  <w:rPr>
                    <w:rFonts w:ascii="Cambria Math" w:hAnsi="Cambria Math"/>
                  </w:rPr>
                  <m:t>S</m:t>
                </m:r>
              </m:sup>
            </m:sSubSup>
          </m:num>
          <m:den>
            <m:sSubSup>
              <m:sSubSupPr>
                <m:ctrlPr>
                  <w:rPr>
                    <w:rFonts w:ascii="Cambria Math" w:hAnsi="Cambria Math"/>
                    <w:bCs/>
                    <w:i/>
                  </w:rPr>
                </m:ctrlPr>
              </m:sSubSupPr>
              <m:e>
                <m:r>
                  <w:rPr>
                    <w:rFonts w:ascii="Cambria Math" w:hAnsi="Cambria Math"/>
                  </w:rPr>
                  <m:t>Q</m:t>
                </m:r>
              </m:e>
              <m:sub>
                <m:r>
                  <w:rPr>
                    <w:rFonts w:ascii="Cambria Math" w:hAnsi="Cambria Math"/>
                  </w:rPr>
                  <m:t>rep</m:t>
                </m:r>
              </m:sub>
              <m:sup>
                <m:r>
                  <w:rPr>
                    <w:rFonts w:ascii="Cambria Math" w:hAnsi="Cambria Math"/>
                  </w:rPr>
                  <m:t>S</m:t>
                </m:r>
              </m:sup>
            </m:sSubSup>
          </m:den>
        </m:f>
      </m:oMath>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t>(</w:t>
      </w:r>
      <w:r>
        <w:rPr>
          <w:rFonts w:eastAsiaTheme="minorEastAsia"/>
        </w:rPr>
        <w:t>S1-7</w:t>
      </w:r>
      <w:r>
        <w:rPr>
          <w:rFonts w:eastAsiaTheme="minorEastAsia"/>
          <w:bCs/>
        </w:rPr>
        <w:t>)</w:t>
      </w:r>
    </w:p>
    <w:p w14:paraId="0F495A2C" w14:textId="77777777" w:rsidR="0032151C" w:rsidRDefault="0032151C" w:rsidP="0032151C">
      <w:pPr>
        <w:rPr>
          <w:rFonts w:eastAsiaTheme="minorEastAsia"/>
          <w:bCs/>
        </w:rPr>
      </w:pPr>
      <w:r>
        <w:rPr>
          <w:rFonts w:eastAsiaTheme="minorEastAsia"/>
          <w:bCs/>
        </w:rPr>
        <w:t xml:space="preserve">where the subscripts </w:t>
      </w:r>
      <w:proofErr w:type="spellStart"/>
      <w:r w:rsidRPr="002076AC">
        <w:rPr>
          <w:rFonts w:eastAsiaTheme="minorEastAsia"/>
          <w:bCs/>
          <w:i/>
        </w:rPr>
        <w:t>stv</w:t>
      </w:r>
      <w:proofErr w:type="spellEnd"/>
      <w:r>
        <w:rPr>
          <w:rFonts w:eastAsiaTheme="minorEastAsia"/>
          <w:bCs/>
        </w:rPr>
        <w:t xml:space="preserve"> and </w:t>
      </w:r>
      <w:r w:rsidRPr="002076AC">
        <w:rPr>
          <w:rFonts w:eastAsiaTheme="minorEastAsia"/>
          <w:bCs/>
          <w:i/>
        </w:rPr>
        <w:t>rep</w:t>
      </w:r>
      <w:r>
        <w:rPr>
          <w:rFonts w:eastAsiaTheme="minorEastAsia"/>
          <w:bCs/>
        </w:rPr>
        <w:t xml:space="preserve"> refer to nutrient starved and nutrient replete conditions.  The above equation is linked to the transporter model through recognition that</w:t>
      </w:r>
      <m:oMath>
        <m:r>
          <w:rPr>
            <w:rFonts w:ascii="Cambria Math" w:eastAsiaTheme="minorEastAsia" w:hAnsi="Cambria Math"/>
          </w:rPr>
          <m:t xml:space="preserve"> </m:t>
        </m:r>
        <m:sSubSup>
          <m:sSubSupPr>
            <m:ctrlPr>
              <w:rPr>
                <w:rFonts w:ascii="Cambria Math" w:hAnsi="Cambria Math"/>
                <w:bCs/>
                <w:i/>
              </w:rPr>
            </m:ctrlPr>
          </m:sSubSupPr>
          <m:e>
            <m:r>
              <w:rPr>
                <w:rFonts w:ascii="Cambria Math" w:hAnsi="Cambria Math"/>
              </w:rPr>
              <m:t>V</m:t>
            </m:r>
          </m:e>
          <m:sub>
            <m:r>
              <w:rPr>
                <w:rFonts w:ascii="Cambria Math" w:hAnsi="Cambria Math"/>
              </w:rPr>
              <m:t>max-stv</m:t>
            </m:r>
          </m:sub>
          <m:sup>
            <m:r>
              <w:rPr>
                <w:rFonts w:ascii="Cambria Math" w:hAnsi="Cambria Math"/>
              </w:rPr>
              <m:t>S</m:t>
            </m:r>
          </m:sup>
        </m:sSubSup>
      </m:oMath>
      <w:r>
        <w:rPr>
          <w:rFonts w:eastAsiaTheme="minorEastAsia"/>
          <w:bCs/>
        </w:rPr>
        <w:t xml:space="preserve"> = </w:t>
      </w:r>
      <w:proofErr w:type="spellStart"/>
      <w:r w:rsidRPr="00F66738">
        <w:rPr>
          <w:rFonts w:eastAsiaTheme="minorEastAsia"/>
          <w:bCs/>
          <w:i/>
        </w:rPr>
        <w:t>n</w:t>
      </w:r>
      <w:r w:rsidRPr="00F66738">
        <w:rPr>
          <w:rFonts w:eastAsiaTheme="minorEastAsia"/>
          <w:bCs/>
          <w:i/>
          <w:vertAlign w:val="subscript"/>
        </w:rPr>
        <w:t>max</w:t>
      </w:r>
      <w:proofErr w:type="spellEnd"/>
      <w:r w:rsidRPr="00F66738">
        <w:rPr>
          <w:rFonts w:eastAsiaTheme="minorEastAsia"/>
          <w:bCs/>
          <w:i/>
        </w:rPr>
        <w:t>/h</w:t>
      </w:r>
      <w:r>
        <w:rPr>
          <w:rFonts w:eastAsiaTheme="minorEastAsia"/>
          <w:bCs/>
        </w:rPr>
        <w:t xml:space="preserve"> and </w:t>
      </w:r>
      <m:oMath>
        <m:sSubSup>
          <m:sSubSupPr>
            <m:ctrlPr>
              <w:rPr>
                <w:rFonts w:ascii="Cambria Math" w:hAnsi="Cambria Math"/>
                <w:bCs/>
                <w:i/>
              </w:rPr>
            </m:ctrlPr>
          </m:sSubSupPr>
          <m:e>
            <m:r>
              <w:rPr>
                <w:rFonts w:ascii="Cambria Math" w:hAnsi="Cambria Math"/>
              </w:rPr>
              <m:t>V</m:t>
            </m:r>
          </m:e>
          <m:sub>
            <m:r>
              <w:rPr>
                <w:rFonts w:ascii="Cambria Math" w:hAnsi="Cambria Math"/>
              </w:rPr>
              <m:t>max-rep</m:t>
            </m:r>
          </m:sub>
          <m:sup>
            <m:r>
              <w:rPr>
                <w:rFonts w:ascii="Cambria Math" w:hAnsi="Cambria Math"/>
              </w:rPr>
              <m:t>S</m:t>
            </m:r>
          </m:sup>
        </m:sSubSup>
      </m:oMath>
      <w:r>
        <w:rPr>
          <w:rFonts w:eastAsiaTheme="minorEastAsia"/>
          <w:bCs/>
        </w:rPr>
        <w:t xml:space="preserve">= </w:t>
      </w:r>
      <w:proofErr w:type="spellStart"/>
      <w:r w:rsidRPr="00F66738">
        <w:rPr>
          <w:rFonts w:eastAsiaTheme="minorEastAsia"/>
          <w:bCs/>
          <w:i/>
        </w:rPr>
        <w:t>n</w:t>
      </w:r>
      <w:r w:rsidRPr="00F66738">
        <w:rPr>
          <w:rFonts w:eastAsiaTheme="minorEastAsia"/>
          <w:bCs/>
          <w:i/>
          <w:vertAlign w:val="subscript"/>
        </w:rPr>
        <w:t>rep</w:t>
      </w:r>
      <w:proofErr w:type="spellEnd"/>
      <w:r w:rsidRPr="00F66738">
        <w:rPr>
          <w:rFonts w:eastAsiaTheme="minorEastAsia"/>
          <w:bCs/>
          <w:i/>
        </w:rPr>
        <w:t>/h</w:t>
      </w:r>
      <w:r>
        <w:rPr>
          <w:rFonts w:eastAsiaTheme="minorEastAsia"/>
          <w:bCs/>
        </w:rPr>
        <w:t xml:space="preserve">.  Thus, with increasing nutrient limitation, the number of transporters increases towards </w:t>
      </w:r>
      <w:proofErr w:type="spellStart"/>
      <w:r w:rsidRPr="009063DC">
        <w:rPr>
          <w:rFonts w:eastAsiaTheme="minorEastAsia"/>
          <w:bCs/>
          <w:i/>
        </w:rPr>
        <w:t>n</w:t>
      </w:r>
      <w:r w:rsidRPr="009063DC">
        <w:rPr>
          <w:rFonts w:eastAsiaTheme="minorEastAsia"/>
          <w:bCs/>
          <w:i/>
          <w:vertAlign w:val="subscript"/>
        </w:rPr>
        <w:t>max</w:t>
      </w:r>
      <w:proofErr w:type="spellEnd"/>
      <w:r>
        <w:rPr>
          <w:rFonts w:eastAsiaTheme="minorEastAsia"/>
          <w:bCs/>
        </w:rPr>
        <w:t>, quota is reduced and affinity increases to its maximum value (</w:t>
      </w:r>
      <w:proofErr w:type="spellStart"/>
      <w:r w:rsidRPr="00F66738">
        <w:rPr>
          <w:rFonts w:eastAsiaTheme="minorEastAsia"/>
          <w:bCs/>
          <w:i/>
        </w:rPr>
        <w:t>n</w:t>
      </w:r>
      <w:r w:rsidRPr="00F66738">
        <w:rPr>
          <w:rFonts w:eastAsiaTheme="minorEastAsia"/>
          <w:bCs/>
          <w:i/>
          <w:vertAlign w:val="subscript"/>
        </w:rPr>
        <w:t>max</w:t>
      </w:r>
      <w:r w:rsidRPr="009063DC">
        <w:rPr>
          <w:rFonts w:eastAsiaTheme="minorEastAsia"/>
          <w:bCs/>
          <w:i/>
        </w:rPr>
        <w:t>k</w:t>
      </w:r>
      <w:proofErr w:type="spellEnd"/>
      <w:r>
        <w:rPr>
          <w:rFonts w:eastAsiaTheme="minorEastAsia"/>
          <w:bCs/>
        </w:rPr>
        <w:t>). The steady-state number of uptake sites for nutrient S is:</w:t>
      </w:r>
    </w:p>
    <w:p w14:paraId="0C1506E8" w14:textId="77777777" w:rsidR="0032151C" w:rsidRDefault="0032151C" w:rsidP="0032151C">
      <w:pPr>
        <w:rPr>
          <w:rFonts w:eastAsiaTheme="minorEastAsia"/>
          <w:bCs/>
        </w:rPr>
      </w:pPr>
      <w:r>
        <w:rPr>
          <w:rFonts w:eastAsiaTheme="minorEastAsia"/>
          <w:bCs/>
        </w:rPr>
        <w:tab/>
      </w:r>
      <m:oMath>
        <m:sSup>
          <m:sSupPr>
            <m:ctrlPr>
              <w:rPr>
                <w:rFonts w:ascii="Cambria Math" w:eastAsiaTheme="minorEastAsia" w:hAnsi="Cambria Math"/>
                <w:bCs/>
                <w:i/>
              </w:rPr>
            </m:ctrlPr>
          </m:sSupPr>
          <m:e>
            <m:r>
              <w:rPr>
                <w:rFonts w:ascii="Cambria Math" w:eastAsiaTheme="minorEastAsia" w:hAnsi="Cambria Math"/>
              </w:rPr>
              <m:t>n</m:t>
            </m:r>
          </m:e>
          <m:sup>
            <m:r>
              <w:rPr>
                <w:rFonts w:ascii="Cambria Math" w:eastAsiaTheme="minorEastAsia" w:hAnsi="Cambria Math"/>
              </w:rPr>
              <m:t>S</m:t>
            </m:r>
          </m:sup>
        </m:sSup>
        <m:r>
          <w:rPr>
            <w:rFonts w:ascii="Cambria Math" w:eastAsiaTheme="minorEastAsia" w:hAnsi="Cambria Math"/>
          </w:rPr>
          <m:t>=</m:t>
        </m:r>
        <m:sSubSup>
          <m:sSubSupPr>
            <m:ctrlPr>
              <w:rPr>
                <w:rFonts w:ascii="Cambria Math" w:eastAsiaTheme="minorEastAsia" w:hAnsi="Cambria Math"/>
                <w:bCs/>
                <w:i/>
              </w:rPr>
            </m:ctrlPr>
          </m:sSubSupPr>
          <m:e>
            <m:r>
              <w:rPr>
                <w:rFonts w:ascii="Cambria Math" w:eastAsiaTheme="minorEastAsia" w:hAnsi="Cambria Math"/>
              </w:rPr>
              <m:t>n</m:t>
            </m:r>
          </m:e>
          <m:sub>
            <m:r>
              <w:rPr>
                <w:rFonts w:ascii="Cambria Math" w:eastAsiaTheme="minorEastAsia" w:hAnsi="Cambria Math"/>
              </w:rPr>
              <m:t>max-rep</m:t>
            </m:r>
          </m:sub>
          <m:sup>
            <m:r>
              <w:rPr>
                <w:rFonts w:ascii="Cambria Math" w:eastAsiaTheme="minorEastAsia" w:hAnsi="Cambria Math"/>
              </w:rPr>
              <m:t>S</m:t>
            </m:r>
          </m:sup>
        </m:sSubSup>
        <m:f>
          <m:fPr>
            <m:ctrlPr>
              <w:rPr>
                <w:rFonts w:ascii="Cambria Math" w:eastAsiaTheme="minorEastAsia" w:hAnsi="Cambria Math"/>
                <w:bCs/>
                <w:i/>
              </w:rPr>
            </m:ctrlPr>
          </m:fPr>
          <m:num>
            <m:sSubSup>
              <m:sSubSupPr>
                <m:ctrlPr>
                  <w:rPr>
                    <w:rFonts w:ascii="Cambria Math" w:eastAsiaTheme="minorEastAsia" w:hAnsi="Cambria Math"/>
                    <w:bCs/>
                    <w:i/>
                  </w:rPr>
                </m:ctrlPr>
              </m:sSubSupPr>
              <m:e>
                <m:r>
                  <w:rPr>
                    <w:rFonts w:ascii="Cambria Math" w:eastAsiaTheme="minorEastAsia" w:hAnsi="Cambria Math"/>
                  </w:rPr>
                  <m:t>V</m:t>
                </m:r>
              </m:e>
              <m:sub>
                <m:r>
                  <w:rPr>
                    <w:rFonts w:ascii="Cambria Math" w:eastAsiaTheme="minorEastAsia" w:hAnsi="Cambria Math"/>
                  </w:rPr>
                  <m:t>max</m:t>
                </m:r>
              </m:sub>
              <m:sup>
                <m:r>
                  <w:rPr>
                    <w:rFonts w:ascii="Cambria Math" w:eastAsiaTheme="minorEastAsia" w:hAnsi="Cambria Math"/>
                  </w:rPr>
                  <m:t>S</m:t>
                </m:r>
              </m:sup>
            </m:sSubSup>
          </m:num>
          <m:den>
            <m:sSubSup>
              <m:sSubSupPr>
                <m:ctrlPr>
                  <w:rPr>
                    <w:rFonts w:ascii="Cambria Math" w:eastAsiaTheme="minorEastAsia" w:hAnsi="Cambria Math"/>
                    <w:bCs/>
                    <w:i/>
                  </w:rPr>
                </m:ctrlPr>
              </m:sSubSupPr>
              <m:e>
                <m:r>
                  <w:rPr>
                    <w:rFonts w:ascii="Cambria Math" w:eastAsiaTheme="minorEastAsia" w:hAnsi="Cambria Math"/>
                  </w:rPr>
                  <m:t>V</m:t>
                </m:r>
              </m:e>
              <m:sub>
                <m:r>
                  <w:rPr>
                    <w:rFonts w:ascii="Cambria Math" w:eastAsiaTheme="minorEastAsia" w:hAnsi="Cambria Math"/>
                  </w:rPr>
                  <m:t>max-rep</m:t>
                </m:r>
              </m:sub>
              <m:sup>
                <m:r>
                  <w:rPr>
                    <w:rFonts w:ascii="Cambria Math" w:eastAsiaTheme="minorEastAsia" w:hAnsi="Cambria Math"/>
                  </w:rPr>
                  <m:t>S</m:t>
                </m:r>
              </m:sup>
            </m:sSubSup>
          </m:den>
        </m:f>
      </m:oMath>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t>(S1-8)</w:t>
      </w:r>
    </w:p>
    <w:p w14:paraId="1DB6993F" w14:textId="77777777" w:rsidR="0032151C" w:rsidRPr="0034067E" w:rsidRDefault="0032151C" w:rsidP="0032151C">
      <w:pPr>
        <w:rPr>
          <w:bCs/>
        </w:rPr>
      </w:pPr>
    </w:p>
    <w:p w14:paraId="2C5BB688" w14:textId="42D700C6" w:rsidR="0032151C" w:rsidRDefault="0032151C" w:rsidP="0032151C">
      <w:pPr>
        <w:rPr>
          <w:bCs/>
        </w:rPr>
      </w:pPr>
      <w:r>
        <w:rPr>
          <w:bCs/>
        </w:rPr>
        <w:t xml:space="preserve">The resulting relationships between nutrient uptake parameters, cell quota and growth shown in Fig 2 are entirely consistent with the </w:t>
      </w:r>
      <w:proofErr w:type="spellStart"/>
      <w:r>
        <w:rPr>
          <w:bCs/>
        </w:rPr>
        <w:t>Aksnes</w:t>
      </w:r>
      <w:proofErr w:type="spellEnd"/>
      <w:r>
        <w:rPr>
          <w:bCs/>
        </w:rPr>
        <w:t xml:space="preserve"> and </w:t>
      </w:r>
      <w:proofErr w:type="spellStart"/>
      <w:r>
        <w:rPr>
          <w:bCs/>
        </w:rPr>
        <w:t>Egge</w:t>
      </w:r>
      <w:proofErr w:type="spellEnd"/>
      <w:r>
        <w:rPr>
          <w:bCs/>
        </w:rPr>
        <w:t xml:space="preserve"> transporter model when we assume that plankton can vary </w:t>
      </w:r>
      <w:r w:rsidRPr="00EF76AE">
        <w:rPr>
          <w:bCs/>
          <w:i/>
        </w:rPr>
        <w:t>n</w:t>
      </w:r>
      <w:r>
        <w:rPr>
          <w:bCs/>
        </w:rPr>
        <w:t xml:space="preserve"> during acclimation.  Increasing </w:t>
      </w:r>
      <w:r w:rsidRPr="00EF76AE">
        <w:rPr>
          <w:bCs/>
          <w:i/>
        </w:rPr>
        <w:t>n</w:t>
      </w:r>
      <w:r>
        <w:rPr>
          <w:bCs/>
        </w:rPr>
        <w:t xml:space="preserve"> under nutrient starvation increases </w:t>
      </w:r>
      <m:oMath>
        <m:r>
          <w:rPr>
            <w:rFonts w:ascii="Cambria Math" w:hAnsi="Cambria Math"/>
          </w:rPr>
          <m:t xml:space="preserve"> </m:t>
        </m:r>
        <m:sSubSup>
          <m:sSubSupPr>
            <m:ctrlPr>
              <w:rPr>
                <w:rFonts w:ascii="Cambria Math" w:hAnsi="Cambria Math"/>
                <w:i/>
              </w:rPr>
            </m:ctrlPr>
          </m:sSubSupPr>
          <m:e>
            <m:r>
              <w:rPr>
                <w:rFonts w:ascii="Cambria Math" w:hAnsi="Cambria Math"/>
              </w:rPr>
              <m:t>V</m:t>
            </m:r>
          </m:e>
          <m:sub>
            <m:r>
              <w:rPr>
                <w:rFonts w:ascii="Cambria Math" w:hAnsi="Cambria Math"/>
              </w:rPr>
              <m:t>max</m:t>
            </m:r>
          </m:sub>
          <m:sup>
            <m:r>
              <w:rPr>
                <w:rFonts w:ascii="Cambria Math" w:hAnsi="Cambria Math"/>
              </w:rPr>
              <m:t>S</m:t>
            </m:r>
          </m:sup>
        </m:sSubSup>
      </m:oMath>
      <w:r>
        <w:rPr>
          <w:bCs/>
        </w:rPr>
        <w:t>, preparing phytoplankton to take advantage of any pulses in nutrient availability.  The result from Figure 2 shows that instantaneous uptake for phytoplankton adapted to starved conditions (</w:t>
      </w:r>
      <m:oMath>
        <m:sSubSup>
          <m:sSubSupPr>
            <m:ctrlPr>
              <w:rPr>
                <w:rFonts w:ascii="Cambria Math" w:hAnsi="Cambria Math"/>
                <w:i/>
              </w:rPr>
            </m:ctrlPr>
          </m:sSubSupPr>
          <m:e>
            <m:r>
              <w:rPr>
                <w:rFonts w:ascii="Cambria Math" w:hAnsi="Cambria Math"/>
              </w:rPr>
              <m:t>V</m:t>
            </m:r>
          </m:e>
          <m:sub>
            <m:r>
              <w:rPr>
                <w:rFonts w:ascii="Cambria Math" w:hAnsi="Cambria Math"/>
              </w:rPr>
              <m:t>stv</m:t>
            </m:r>
          </m:sub>
          <m:sup>
            <m:r>
              <w:rPr>
                <w:rFonts w:ascii="Cambria Math" w:hAnsi="Cambria Math"/>
              </w:rPr>
              <m:t>S</m:t>
            </m:r>
          </m:sup>
        </m:sSubSup>
        <m:r>
          <w:rPr>
            <w:rFonts w:ascii="Cambria Math" w:hAnsi="Cambria Math"/>
          </w:rPr>
          <m:t xml:space="preserve"> </m:t>
        </m:r>
      </m:oMath>
      <w:r>
        <w:rPr>
          <w:bCs/>
        </w:rPr>
        <w:t>) and for phytoplankton adapted to replete conditions (</w:t>
      </w:r>
      <m:oMath>
        <m:sSubSup>
          <m:sSubSupPr>
            <m:ctrlPr>
              <w:rPr>
                <w:rFonts w:ascii="Cambria Math" w:hAnsi="Cambria Math"/>
                <w:i/>
              </w:rPr>
            </m:ctrlPr>
          </m:sSubSupPr>
          <m:e>
            <m:r>
              <w:rPr>
                <w:rFonts w:ascii="Cambria Math" w:hAnsi="Cambria Math"/>
              </w:rPr>
              <m:t>V</m:t>
            </m:r>
          </m:e>
          <m:sub>
            <m:r>
              <w:rPr>
                <w:rFonts w:ascii="Cambria Math" w:hAnsi="Cambria Math"/>
              </w:rPr>
              <m:t>rep</m:t>
            </m:r>
          </m:sub>
          <m:sup>
            <m:r>
              <w:rPr>
                <w:rFonts w:ascii="Cambria Math" w:hAnsi="Cambria Math"/>
              </w:rPr>
              <m:t>S</m:t>
            </m:r>
          </m:sup>
        </m:sSubSup>
      </m:oMath>
      <w:r>
        <w:rPr>
          <w:bCs/>
        </w:rPr>
        <w:t xml:space="preserve">).  </w:t>
      </w:r>
    </w:p>
    <w:p w14:paraId="05A39EE5" w14:textId="71135B61" w:rsidR="0032151C" w:rsidRDefault="0032151C" w:rsidP="0032151C">
      <w:pPr>
        <w:rPr>
          <w:bCs/>
        </w:rPr>
      </w:pPr>
      <w:r>
        <w:rPr>
          <w:bCs/>
        </w:rPr>
        <w:t xml:space="preserve">The </w:t>
      </w:r>
      <w:proofErr w:type="spellStart"/>
      <w:r>
        <w:rPr>
          <w:bCs/>
        </w:rPr>
        <w:t>allocatable</w:t>
      </w:r>
      <w:proofErr w:type="spellEnd"/>
      <w:r>
        <w:rPr>
          <w:bCs/>
        </w:rPr>
        <w:t xml:space="preserve"> transporter approach enables a dynamic uptake response to changes in nutrient concentration. For example, phytoplankton acclimated to low nutrient conditions can respond with surge uptake when a pulse of nutrients is introduced. Under balanced conditions, nutrient uptake reduces to a familiar </w:t>
      </w:r>
      <w:proofErr w:type="spellStart"/>
      <w:r>
        <w:rPr>
          <w:bCs/>
        </w:rPr>
        <w:t>Michaelis-Menten</w:t>
      </w:r>
      <w:proofErr w:type="spellEnd"/>
      <w:r>
        <w:rPr>
          <w:bCs/>
        </w:rPr>
        <w:t xml:space="preserve"> formulation with uptake parameters that scale </w:t>
      </w:r>
      <w:proofErr w:type="spellStart"/>
      <w:r>
        <w:rPr>
          <w:bCs/>
        </w:rPr>
        <w:t>allometrically</w:t>
      </w:r>
      <w:proofErr w:type="spellEnd"/>
      <w:r>
        <w:rPr>
          <w:bCs/>
        </w:rPr>
        <w:t xml:space="preserve"> with cell size </w:t>
      </w:r>
      <w:r>
        <w:rPr>
          <w:bCs/>
        </w:rPr>
        <w:fldChar w:fldCharType="begin"/>
      </w:r>
      <w:r>
        <w:rPr>
          <w:bCs/>
        </w:rPr>
        <w:instrText xml:space="preserve"> ADDIN ZOTERO_ITEM CSL_CITATION {"citationID":"h1jtdjaum","properties":{"formattedCitation":"(Aksnes and Egge, 1991; Litchman et al., 2007)","plainCitation":"(Aksnes and Egge, 1991; Litchman et al., 2007)"},"citationItems":[{"id":333,"uris":["http://zotero.org/users/815468/items/AZBG9576"],"uri":["http://zotero.org/users/815468/items/AZBG9576"],"itemData":{"id":333,"type":"article-journal","title":"A theoretical model for nutrient uptake in phytoplankton.","container-title":"Marine ecology progress series. Oldendorf","page":"65–72","volume":"70","issue":"1","source":"Google Scholar","ISSN":"0171-8630","journalAbbreviation":"Mar. Ecol. Prog. Ser.","author":[{"family":"Aksnes","given":"D. L."},{"family":"Egge","given":"J. K."}],"issued":{"date-parts":[["1991"]]}}},{"id":735,"uris":["http://zotero.org/users/815468/items/MBTSNSF6"],"uri":["http://zotero.org/users/815468/items/MBTSNSF6"],"itemData":{"id":735,"type":"article-journal","title":"The role of functional traits and trade-offs in structuring phytoplankton communities: scaling from cellular to ecosystem level","container-title":"Ecology Letters","page":"1170-1181","volume":"10","issue":"12","source":"CrossRef","DOI":"10.1111/j.1461-0248.2007.01117.x","ISSN":"1461-023X","shortTitle":"The role of functional traits and trade-offs in structuring phytoplankton communities","journalAbbreviation":"Ecol. Letters","author":[{"family":"Litchman","given":"Elena"},{"family":"Klausmeier","given":"Christopher A."},{"family":"Schofield","given":"Oscar M."},{"family":"Falkowski","given":"Paul G."}],"issued":{"date-parts":[["2007",12]]}}}],"schema":"https://github.com/citation-style-language/schema/raw/master/csl-citation.json"} </w:instrText>
      </w:r>
      <w:r>
        <w:rPr>
          <w:bCs/>
        </w:rPr>
        <w:fldChar w:fldCharType="separate"/>
      </w:r>
      <w:r>
        <w:rPr>
          <w:bCs/>
          <w:noProof/>
        </w:rPr>
        <w:t>(Aksnes and Egge, 1991; Litchman et al., 2007)</w:t>
      </w:r>
      <w:r>
        <w:rPr>
          <w:bCs/>
        </w:rPr>
        <w:fldChar w:fldCharType="end"/>
      </w:r>
      <w:r>
        <w:rPr>
          <w:bCs/>
        </w:rPr>
        <w:t>. Nutrient affinity (</w:t>
      </w:r>
      <m:oMath>
        <m:sSup>
          <m:sSupPr>
            <m:ctrlPr>
              <w:rPr>
                <w:rFonts w:ascii="Cambria Math" w:hAnsi="Cambria Math"/>
                <w:bCs/>
                <w:i/>
              </w:rPr>
            </m:ctrlPr>
          </m:sSupPr>
          <m:e>
            <m:r>
              <w:rPr>
                <w:rFonts w:ascii="Cambria Math" w:hAnsi="Cambria Math"/>
              </w:rPr>
              <m:t>α</m:t>
            </m:r>
          </m:e>
          <m:sup>
            <m:r>
              <w:rPr>
                <w:rFonts w:ascii="Cambria Math" w:hAnsi="Cambria Math"/>
              </w:rPr>
              <m:t>S</m:t>
            </m:r>
          </m:sup>
        </m:sSup>
        <m:r>
          <w:rPr>
            <w:rFonts w:ascii="Cambria Math" w:hAnsi="Cambria Math"/>
          </w:rPr>
          <m:t>)</m:t>
        </m:r>
      </m:oMath>
      <w:r>
        <w:rPr>
          <w:bCs/>
        </w:rPr>
        <w:t xml:space="preserve">, a critical parameter for competitiveness for low nutrient concentrations is: </w:t>
      </w:r>
    </w:p>
    <w:p w14:paraId="340D7861" w14:textId="3EC4216F" w:rsidR="0032151C" w:rsidRDefault="0032151C" w:rsidP="0032151C">
      <w:r>
        <w:rPr>
          <w:bCs/>
        </w:rPr>
        <w:tab/>
      </w:r>
      <m:oMath>
        <m:sSup>
          <m:sSupPr>
            <m:ctrlPr>
              <w:rPr>
                <w:rFonts w:ascii="Cambria Math" w:hAnsi="Cambria Math"/>
                <w:bCs/>
                <w:i/>
              </w:rPr>
            </m:ctrlPr>
          </m:sSupPr>
          <m:e>
            <m:r>
              <w:rPr>
                <w:rFonts w:ascii="Cambria Math" w:hAnsi="Cambria Math"/>
              </w:rPr>
              <m:t>α</m:t>
            </m:r>
          </m:e>
          <m:sup>
            <m:r>
              <w:rPr>
                <w:rFonts w:ascii="Cambria Math" w:hAnsi="Cambria Math"/>
              </w:rPr>
              <m:t>S</m:t>
            </m:r>
          </m:sup>
        </m:sSup>
        <m: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max</m:t>
            </m:r>
          </m:sub>
        </m:sSub>
        <m:r>
          <w:rPr>
            <w:rFonts w:ascii="Cambria Math" w:hAnsi="Cambria Math"/>
          </w:rPr>
          <m:t>kA</m:t>
        </m:r>
      </m:oMath>
      <w:r>
        <w:tab/>
      </w:r>
      <w:r>
        <w:tab/>
      </w:r>
      <w:r>
        <w:tab/>
      </w:r>
      <w:r>
        <w:tab/>
      </w:r>
      <w:r>
        <w:tab/>
      </w:r>
      <w:r>
        <w:tab/>
      </w:r>
      <w:r>
        <w:tab/>
      </w:r>
      <w:r>
        <w:tab/>
      </w:r>
      <w:r>
        <w:tab/>
        <w:t>(S1-9)</w:t>
      </w:r>
    </w:p>
    <w:p w14:paraId="054365C3" w14:textId="77777777" w:rsidR="0032151C" w:rsidRDefault="0032151C" w:rsidP="0032151C">
      <w:pPr>
        <w:rPr>
          <w:bCs/>
        </w:rPr>
      </w:pPr>
    </w:p>
    <w:p w14:paraId="03CFFCA8" w14:textId="77777777" w:rsidR="0032151C" w:rsidRPr="00CE6EAA" w:rsidRDefault="0032151C" w:rsidP="0032151C">
      <w:pPr>
        <w:pStyle w:val="SMText"/>
        <w:ind w:firstLine="0"/>
        <w:rPr>
          <w:sz w:val="22"/>
          <w:szCs w:val="22"/>
        </w:rPr>
      </w:pPr>
      <w:r>
        <w:rPr>
          <w:bCs/>
        </w:rPr>
        <w:t xml:space="preserve">The theoretical approach leads to </w:t>
      </w:r>
      <w:proofErr w:type="spellStart"/>
      <w:r>
        <w:rPr>
          <w:bCs/>
        </w:rPr>
        <w:t>allometric</w:t>
      </w:r>
      <w:proofErr w:type="spellEnd"/>
      <w:r>
        <w:rPr>
          <w:bCs/>
        </w:rPr>
        <w:t xml:space="preserve"> scaling such that </w:t>
      </w:r>
      <m:oMath>
        <m:sSub>
          <m:sSubPr>
            <m:ctrlPr>
              <w:rPr>
                <w:rFonts w:ascii="Cambria Math" w:hAnsi="Cambria Math"/>
                <w:bCs/>
                <w:i/>
              </w:rPr>
            </m:ctrlPr>
          </m:sSubPr>
          <m:e>
            <m:r>
              <w:rPr>
                <w:rFonts w:ascii="Cambria Math" w:hAnsi="Cambria Math"/>
              </w:rPr>
              <m:t>n</m:t>
            </m:r>
          </m:e>
          <m:sub>
            <m:r>
              <w:rPr>
                <w:rFonts w:ascii="Cambria Math" w:hAnsi="Cambria Math"/>
              </w:rPr>
              <m:t>max</m:t>
            </m:r>
          </m:sub>
        </m:sSub>
        <m:r>
          <w:rPr>
            <w:rFonts w:ascii="Cambria Math" w:hAnsi="Cambria Math"/>
          </w:rPr>
          <m:t>∝</m:t>
        </m:r>
        <m:sSup>
          <m:sSupPr>
            <m:ctrlPr>
              <w:rPr>
                <w:rFonts w:ascii="Cambria Math" w:hAnsi="Cambria Math"/>
                <w:bCs/>
                <w:i/>
              </w:rPr>
            </m:ctrlPr>
          </m:sSupPr>
          <m:e>
            <m:r>
              <w:rPr>
                <w:rFonts w:ascii="Cambria Math" w:hAnsi="Cambria Math"/>
              </w:rPr>
              <m:t>r</m:t>
            </m:r>
          </m:e>
          <m:sup>
            <m:r>
              <w:rPr>
                <w:rFonts w:ascii="Cambria Math" w:hAnsi="Cambria Math"/>
              </w:rPr>
              <m:t>2</m:t>
            </m:r>
          </m:sup>
        </m:sSup>
      </m:oMath>
      <w:r>
        <w:rPr>
          <w:rFonts w:eastAsiaTheme="minorEastAsia"/>
          <w:bCs/>
        </w:rPr>
        <w:t>,</w:t>
      </w:r>
      <m:oMath>
        <m:r>
          <w:rPr>
            <w:rFonts w:ascii="Cambria Math" w:eastAsiaTheme="minorEastAsia" w:hAnsi="Cambria Math"/>
          </w:rPr>
          <m:t xml:space="preserve"> k</m:t>
        </m:r>
        <m:r>
          <w:rPr>
            <w:rFonts w:ascii="Cambria Math" w:hAnsi="Cambria Math"/>
          </w:rPr>
          <m:t>∝</m:t>
        </m:r>
        <m:sSup>
          <m:sSupPr>
            <m:ctrlPr>
              <w:rPr>
                <w:rFonts w:ascii="Cambria Math" w:hAnsi="Cambria Math"/>
                <w:bCs/>
                <w:i/>
              </w:rPr>
            </m:ctrlPr>
          </m:sSupPr>
          <m:e>
            <m:r>
              <w:rPr>
                <w:rFonts w:ascii="Cambria Math" w:hAnsi="Cambria Math"/>
              </w:rPr>
              <m:t>r</m:t>
            </m:r>
          </m:e>
          <m:sup>
            <m:r>
              <w:rPr>
                <w:rFonts w:ascii="Cambria Math" w:hAnsi="Cambria Math"/>
              </w:rPr>
              <m:t>-1</m:t>
            </m:r>
          </m:sup>
        </m:sSup>
      </m:oMath>
      <w:r>
        <w:rPr>
          <w:rFonts w:eastAsiaTheme="minorEastAsia"/>
          <w:bCs/>
        </w:rPr>
        <w:t xml:space="preserve"> and </w:t>
      </w:r>
      <m:oMath>
        <m:sSup>
          <m:sSupPr>
            <m:ctrlPr>
              <w:rPr>
                <w:rFonts w:ascii="Cambria Math" w:hAnsi="Cambria Math"/>
                <w:bCs/>
                <w:i/>
              </w:rPr>
            </m:ctrlPr>
          </m:sSupPr>
          <m:e>
            <m:r>
              <w:rPr>
                <w:rFonts w:ascii="Cambria Math" w:hAnsi="Cambria Math"/>
              </w:rPr>
              <m:t>α</m:t>
            </m:r>
          </m:e>
          <m:sup>
            <m:r>
              <w:rPr>
                <w:rFonts w:ascii="Cambria Math" w:hAnsi="Cambria Math"/>
              </w:rPr>
              <m:t>S</m:t>
            </m:r>
          </m:sup>
        </m:sSup>
        <m:r>
          <w:rPr>
            <w:rFonts w:ascii="Cambria Math" w:hAnsi="Cambria Math"/>
          </w:rPr>
          <m:t>∝r</m:t>
        </m:r>
      </m:oMath>
      <w:r>
        <w:rPr>
          <w:rFonts w:eastAsiaTheme="minorEastAsia"/>
          <w:bCs/>
        </w:rPr>
        <w:t xml:space="preserve">. Nutrient affinity normalized to cell carbon thus scales as </w:t>
      </w:r>
      <w:r w:rsidRPr="00094A2F">
        <w:rPr>
          <w:rFonts w:eastAsiaTheme="minorEastAsia"/>
          <w:bCs/>
          <w:i/>
        </w:rPr>
        <w:t>r</w:t>
      </w:r>
      <w:r w:rsidRPr="00094A2F">
        <w:rPr>
          <w:rFonts w:eastAsiaTheme="minorEastAsia"/>
          <w:bCs/>
          <w:i/>
          <w:vertAlign w:val="superscript"/>
        </w:rPr>
        <w:sym w:font="Symbol" w:char="F02D"/>
      </w:r>
      <w:r w:rsidRPr="00094A2F">
        <w:rPr>
          <w:rFonts w:eastAsiaTheme="minorEastAsia"/>
          <w:bCs/>
          <w:i/>
          <w:vertAlign w:val="superscript"/>
        </w:rPr>
        <w:t>2</w:t>
      </w:r>
      <w:r w:rsidRPr="00094A2F">
        <w:rPr>
          <w:rFonts w:eastAsiaTheme="minorEastAsia"/>
          <w:bCs/>
          <w:i/>
        </w:rPr>
        <w:t>r</w:t>
      </w:r>
      <w:r w:rsidRPr="00094A2F">
        <w:rPr>
          <w:rFonts w:eastAsiaTheme="minorEastAsia"/>
          <w:bCs/>
          <w:i/>
          <w:vertAlign w:val="superscript"/>
        </w:rPr>
        <w:t>1</w:t>
      </w:r>
      <w:r w:rsidRPr="00094A2F">
        <w:rPr>
          <w:rFonts w:eastAsiaTheme="minorEastAsia"/>
          <w:bCs/>
          <w:i/>
          <w:vertAlign w:val="superscript"/>
        </w:rPr>
        <w:sym w:font="Symbol" w:char="F02D"/>
      </w:r>
      <w:r w:rsidRPr="00094A2F">
        <w:rPr>
          <w:rFonts w:eastAsiaTheme="minorEastAsia"/>
          <w:bCs/>
          <w:i/>
          <w:vertAlign w:val="superscript"/>
        </w:rPr>
        <w:sym w:font="Symbol" w:char="F067"/>
      </w:r>
      <w:r>
        <w:rPr>
          <w:rFonts w:eastAsiaTheme="minorEastAsia"/>
          <w:bCs/>
        </w:rPr>
        <w:t xml:space="preserve"> or </w:t>
      </w:r>
      <m:oMath>
        <m:sSup>
          <m:sSupPr>
            <m:ctrlPr>
              <w:rPr>
                <w:rFonts w:ascii="Cambria Math" w:hAnsi="Cambria Math"/>
                <w:bCs/>
                <w:i/>
              </w:rPr>
            </m:ctrlPr>
          </m:sSupPr>
          <m:e>
            <m:r>
              <w:rPr>
                <w:rFonts w:ascii="Cambria Math" w:hAnsi="Cambria Math"/>
              </w:rPr>
              <m:t>α</m:t>
            </m:r>
          </m:e>
          <m:sup>
            <m:r>
              <w:rPr>
                <w:rFonts w:ascii="Cambria Math" w:hAnsi="Cambria Math"/>
              </w:rPr>
              <m:t>S</m:t>
            </m:r>
          </m:sup>
        </m:sSup>
        <m:r>
          <w:rPr>
            <w:rFonts w:ascii="Cambria Math" w:hAnsi="Cambria Math"/>
          </w:rPr>
          <m:t>∝</m:t>
        </m:r>
        <m:sSup>
          <m:sSupPr>
            <m:ctrlPr>
              <w:rPr>
                <w:rFonts w:ascii="Cambria Math" w:hAnsi="Cambria Math"/>
                <w:bCs/>
                <w:i/>
              </w:rPr>
            </m:ctrlPr>
          </m:sSupPr>
          <m:e>
            <m:r>
              <w:rPr>
                <w:rFonts w:ascii="Cambria Math" w:hAnsi="Cambria Math"/>
              </w:rPr>
              <m:t>r</m:t>
            </m:r>
          </m:e>
          <m:sup/>
        </m:sSup>
      </m:oMath>
    </w:p>
    <w:p w14:paraId="5E8E3F73" w14:textId="77777777" w:rsidR="0015244E" w:rsidRPr="005314B5" w:rsidRDefault="0015244E" w:rsidP="0015244E"/>
    <w:p w14:paraId="5C0C00BA" w14:textId="77777777" w:rsidR="0015244E" w:rsidRDefault="0015244E" w:rsidP="00EF25A3">
      <w:pPr>
        <w:pStyle w:val="SMText"/>
        <w:ind w:firstLine="0"/>
        <w:rPr>
          <w:b/>
          <w:i/>
          <w:sz w:val="22"/>
          <w:szCs w:val="22"/>
        </w:rPr>
      </w:pPr>
    </w:p>
    <w:p w14:paraId="50E4BE69" w14:textId="79873BD0" w:rsidR="0032151C" w:rsidRDefault="0032151C" w:rsidP="0032151C">
      <w:pPr>
        <w:pStyle w:val="SMHeading"/>
      </w:pPr>
      <w:r w:rsidRPr="005314B5">
        <w:lastRenderedPageBreak/>
        <w:t>Text</w:t>
      </w:r>
      <w:r>
        <w:t xml:space="preserve"> S2. </w:t>
      </w:r>
      <w:proofErr w:type="spellStart"/>
      <w:r>
        <w:t>CalCOFI</w:t>
      </w:r>
      <w:proofErr w:type="spellEnd"/>
      <w:r>
        <w:t xml:space="preserve"> Productivity</w:t>
      </w:r>
    </w:p>
    <w:p w14:paraId="004C2A98" w14:textId="7269ABCA" w:rsidR="0032151C" w:rsidRDefault="0032151C" w:rsidP="0032151C">
      <w:pPr>
        <w:rPr>
          <w:bCs/>
        </w:rPr>
      </w:pPr>
      <w:r>
        <w:rPr>
          <w:bCs/>
        </w:rPr>
        <w:t xml:space="preserve">The </w:t>
      </w:r>
      <w:proofErr w:type="spellStart"/>
      <w:r>
        <w:rPr>
          <w:bCs/>
        </w:rPr>
        <w:t>CalCOFI</w:t>
      </w:r>
      <w:proofErr w:type="spellEnd"/>
      <w:r>
        <w:rPr>
          <w:bCs/>
        </w:rPr>
        <w:t xml:space="preserve"> sampling area spans a range of ocean biomes, from productive, near coastal conditions in an eastern boundary upwelling system to fairly oligotrophic offshore waters </w:t>
      </w:r>
      <w:r>
        <w:rPr>
          <w:bCs/>
        </w:rPr>
        <w:fldChar w:fldCharType="begin"/>
      </w:r>
      <w:r>
        <w:rPr>
          <w:bCs/>
        </w:rPr>
        <w:instrText xml:space="preserve"> ADDIN ZOTERO_ITEM CSL_CITATION {"citationID":"17tj4fqdg2","properties":{"formattedCitation":"(Bograd et al., 2003)","plainCitation":"(Bograd et al., 2003)"},"citationItems":[{"id":727,"uris":["http://zotero.org/users/815468/items/M6UQ4RQM"],"uri":["http://zotero.org/users/815468/items/M6UQ4RQM"],"itemData":{"id":727,"type":"article-journal","title":"CalCOFI: a half century of physical, chemical, and biological research in the California Current System","container-title":"Deep Sea Research Part II: Topical Studies in Oceanography","page":"2349-2353","volume":"50","issue":"14–16","source":"ScienceDirect","abstract":"The California Cooperative Oceanic Fisheries Investigations (CalCOFI) program has been sampling the physics, chemistry, and biology of the California Current System since 1949, making it the world's longest-running multi-disciplinary oceanographic field program. Founded by leading marine scientists, CalCOFI from its inception took an ecosystem approach to understanding physical–biological coupling in the ocean. Its 54-year time series (and counting) now permits an exploration of a range of oceanographic and fisheries problems across a broad temporal spectrum. As a celebration of more than half a century of CalCOFI, this issue presents 13 manuscripts that sample the breadth of integrated marine research conducted under its auspices.","DOI":"10.1016/S0967-0645(03)00122-X","ISSN":"0967-0645","shortTitle":"CalCOFI: A Half Century of Physical, Chemical and Biological Research in the California Current System","journalAbbreviation":"Deep Sea Research Part II: Topical Studies in Oceanography","author":[{"family":"Bograd","given":"Steven J"},{"family":"Checkley Jr.","given":"David A"},{"family":"Wooster","given":"Warren S"}],"issued":{"date-parts":[["2003",8]]}}}],"schema":"https://github.com/citation-style-language/schema/raw/master/csl-citation.json"} </w:instrText>
      </w:r>
      <w:r>
        <w:rPr>
          <w:bCs/>
        </w:rPr>
        <w:fldChar w:fldCharType="separate"/>
      </w:r>
      <w:r>
        <w:rPr>
          <w:bCs/>
          <w:noProof/>
        </w:rPr>
        <w:t>(Bograd et al., 2003)</w:t>
      </w:r>
      <w:r>
        <w:rPr>
          <w:bCs/>
        </w:rPr>
        <w:fldChar w:fldCharType="end"/>
      </w:r>
      <w:r>
        <w:rPr>
          <w:bCs/>
        </w:rPr>
        <w:t>.  Program measurements include 6-hr PP(</w:t>
      </w:r>
      <w:r w:rsidRPr="000460A2">
        <w:rPr>
          <w:bCs/>
          <w:vertAlign w:val="superscript"/>
        </w:rPr>
        <w:t>14</w:t>
      </w:r>
      <w:r>
        <w:rPr>
          <w:bCs/>
        </w:rPr>
        <w:t xml:space="preserve">C), nitrate, phosphate, percent PAR relative to surface and chlorophyll, all the parameters necessary to estimate and validate </w:t>
      </w:r>
      <w:r w:rsidRPr="000460A2">
        <w:rPr>
          <w:bCs/>
          <w:i/>
        </w:rPr>
        <w:t>N</w:t>
      </w:r>
      <w:r w:rsidRPr="000460A2">
        <w:rPr>
          <w:bCs/>
          <w:i/>
          <w:vertAlign w:val="subscript"/>
        </w:rPr>
        <w:t>C</w:t>
      </w:r>
      <w:r>
        <w:rPr>
          <w:bCs/>
        </w:rPr>
        <w:t xml:space="preserve"> as calculated using PCAM and Eq. 18.  </w:t>
      </w:r>
      <w:proofErr w:type="spellStart"/>
      <w:r>
        <w:rPr>
          <w:bCs/>
        </w:rPr>
        <w:t>CalCOFI</w:t>
      </w:r>
      <w:proofErr w:type="spellEnd"/>
      <w:r>
        <w:rPr>
          <w:bCs/>
        </w:rPr>
        <w:t xml:space="preserve"> 6-hr PP(</w:t>
      </w:r>
      <w:r w:rsidRPr="000460A2">
        <w:rPr>
          <w:bCs/>
          <w:vertAlign w:val="superscript"/>
        </w:rPr>
        <w:t>14</w:t>
      </w:r>
      <w:r>
        <w:rPr>
          <w:bCs/>
        </w:rPr>
        <w:t xml:space="preserve">C) is converted to an estimate of by multiplying by the ratio 1.81 as determined from a local </w:t>
      </w:r>
      <w:r w:rsidRPr="000460A2">
        <w:rPr>
          <w:bCs/>
          <w:vertAlign w:val="superscript"/>
        </w:rPr>
        <w:t>14</w:t>
      </w:r>
      <w:r>
        <w:rPr>
          <w:bCs/>
        </w:rPr>
        <w:t xml:space="preserve">C </w:t>
      </w:r>
      <w:proofErr w:type="spellStart"/>
      <w:r>
        <w:rPr>
          <w:bCs/>
        </w:rPr>
        <w:t>intercomparison</w:t>
      </w:r>
      <w:proofErr w:type="spellEnd"/>
      <w:r>
        <w:rPr>
          <w:bCs/>
        </w:rPr>
        <w:t xml:space="preserve"> </w:t>
      </w:r>
      <w:r>
        <w:rPr>
          <w:bCs/>
        </w:rPr>
        <w:fldChar w:fldCharType="begin"/>
      </w:r>
      <w:r>
        <w:rPr>
          <w:bCs/>
        </w:rPr>
        <w:instrText xml:space="preserve"> ADDIN ZOTERO_ITEM CSL_CITATION {"citationID":"18d26rt2tq","properties":{"formattedCitation":"(Eppley, 1992)","plainCitation":"(Eppley, 1992)"},"citationItems":[{"id":1004,"uris":["http://zotero.org/users/815468/items/TIVDE3HG"],"uri":["http://zotero.org/users/815468/items/TIVDE3HG"],"itemData":{"id":1004,"type":"article-journal","title":"Chlorophyll, photosynthesis and new production in the Southern California Bight","container-title":"Progress in Oceanography","page":"117-150","volume":"30","issue":"1–4","source":"ScienceDirect","abstract":"The study of phytoplankton distributions and processes in these waters has been stimulated in recent years (1) by the synoptic views of surface pigment afforded by the Coastal Zone Color Scanner (CZCS) aboard the NIMBUS-7 satellite; (2) by rapid developments in bio-optical oceanography toward the estimation of in situ photosynthetic rate; (3) by use of sediment traps and geochemical tracers to determine the flux of organic matter from the euphotic zone; and (4) by measurements of new production based on the utilization of nitrate by the plankton. The evolution and rationale of the Joint Global Ocean Flux Study of ocean biogeochemical cycles and ocean climate changes serve to focus much of the work. In that context, a major goal is to assess new/export production on large time and space scales accessible to date only by remote sensing.","DOI":"10.1016/0079-6611(92)90010-W","ISSN":"0079-6611","journalAbbreviation":"Prog. Oceanogr.","author":[{"family":"Eppley","given":"Richard W."}],"issued":{"date-parts":[["1992"]]}}}],"schema":"https://github.com/citation-style-language/schema/raw/master/csl-citation.json"} </w:instrText>
      </w:r>
      <w:r>
        <w:rPr>
          <w:bCs/>
        </w:rPr>
        <w:fldChar w:fldCharType="separate"/>
      </w:r>
      <w:r>
        <w:t>(</w:t>
      </w:r>
      <w:proofErr w:type="spellStart"/>
      <w:r>
        <w:t>Eppley</w:t>
      </w:r>
      <w:proofErr w:type="spellEnd"/>
      <w:r>
        <w:t>, 1992)</w:t>
      </w:r>
      <w:r>
        <w:rPr>
          <w:bCs/>
        </w:rPr>
        <w:fldChar w:fldCharType="end"/>
      </w:r>
      <w:r>
        <w:rPr>
          <w:bCs/>
        </w:rPr>
        <w:t xml:space="preserve">.  Analysis of </w:t>
      </w:r>
      <w:proofErr w:type="spellStart"/>
      <w:r>
        <w:rPr>
          <w:bCs/>
        </w:rPr>
        <w:t>CalCOFI</w:t>
      </w:r>
      <w:proofErr w:type="spellEnd"/>
      <w:r>
        <w:rPr>
          <w:bCs/>
        </w:rPr>
        <w:t xml:space="preserve"> data included all observations from 1985 through January 2012, which, when filtered for samples including all of the necessary variables, resulted in 7848 data points.  Only samples with nutrient concentration above the limit of detection and within the upper 120 m were considered.  PAR was calculated from climatological surface PAR from MODIS </w:t>
      </w:r>
      <w:r>
        <w:t>Aqua</w:t>
      </w:r>
      <w:r>
        <w:rPr>
          <w:bCs/>
        </w:rPr>
        <w:t xml:space="preserve"> and percent PAR as measured for each sample by the </w:t>
      </w:r>
      <w:proofErr w:type="spellStart"/>
      <w:r>
        <w:rPr>
          <w:bCs/>
        </w:rPr>
        <w:t>CalCOFI</w:t>
      </w:r>
      <w:proofErr w:type="spellEnd"/>
      <w:r>
        <w:rPr>
          <w:bCs/>
        </w:rPr>
        <w:t xml:space="preserve"> program.  PCAM-predicted </w:t>
      </w:r>
      <w:r w:rsidRPr="004A28DC">
        <w:rPr>
          <w:bCs/>
          <w:i/>
        </w:rPr>
        <w:t>N</w:t>
      </w:r>
      <w:r w:rsidRPr="004A28DC">
        <w:rPr>
          <w:bCs/>
          <w:i/>
          <w:vertAlign w:val="subscript"/>
        </w:rPr>
        <w:t>C</w:t>
      </w:r>
      <w:r>
        <w:rPr>
          <w:bCs/>
        </w:rPr>
        <w:t xml:space="preserve"> agreed well with observed </w:t>
      </w:r>
      <w:r w:rsidRPr="004A28DC">
        <w:rPr>
          <w:bCs/>
          <w:i/>
        </w:rPr>
        <w:t>N</w:t>
      </w:r>
      <w:r w:rsidRPr="004A28DC">
        <w:rPr>
          <w:bCs/>
          <w:i/>
          <w:vertAlign w:val="subscript"/>
        </w:rPr>
        <w:t>C</w:t>
      </w:r>
      <w:r>
        <w:rPr>
          <w:bCs/>
        </w:rPr>
        <w:t xml:space="preserve"> with no major biases apparent as a function of input variables such as PAR and nitrate (Fig. S2).  PCAM does appear to overestimate some observations where PAR is very high (&gt;500 </w:t>
      </w:r>
      <w:r>
        <w:sym w:font="Symbol" w:char="F06D"/>
      </w:r>
      <w:proofErr w:type="spellStart"/>
      <w:r>
        <w:t>mol</w:t>
      </w:r>
      <w:proofErr w:type="spellEnd"/>
      <w:r>
        <w:t xml:space="preserve"> photons m</w:t>
      </w:r>
      <w:r w:rsidRPr="00A83985">
        <w:rPr>
          <w:vertAlign w:val="superscript"/>
        </w:rPr>
        <w:t>-2</w:t>
      </w:r>
      <w:r>
        <w:t xml:space="preserve"> s</w:t>
      </w:r>
      <w:r w:rsidRPr="00A83985">
        <w:rPr>
          <w:vertAlign w:val="superscript"/>
        </w:rPr>
        <w:t>-1</w:t>
      </w:r>
      <w:r>
        <w:rPr>
          <w:bCs/>
        </w:rPr>
        <w:t xml:space="preserve">) and nutrients low.  This may be a product of </w:t>
      </w:r>
      <w:proofErr w:type="spellStart"/>
      <w:r>
        <w:rPr>
          <w:bCs/>
        </w:rPr>
        <w:t>photoinhibition</w:t>
      </w:r>
      <w:proofErr w:type="spellEnd"/>
      <w:r>
        <w:rPr>
          <w:bCs/>
        </w:rPr>
        <w:t>, which is not included in the PCAM model.</w:t>
      </w:r>
    </w:p>
    <w:p w14:paraId="018525D3" w14:textId="23076F45" w:rsidR="0032151C" w:rsidRPr="00B70254" w:rsidRDefault="0032151C" w:rsidP="0032151C">
      <w:pPr>
        <w:pStyle w:val="SMHeading"/>
        <w:rPr>
          <w:u w:val="single"/>
        </w:rPr>
      </w:pPr>
      <w:r>
        <w:t>Text S3. Derivation of Optimal Allocation for Macronutrients and Light</w:t>
      </w:r>
    </w:p>
    <w:p w14:paraId="6C08BD35" w14:textId="77777777" w:rsidR="0032151C" w:rsidRDefault="0032151C" w:rsidP="0032151C">
      <w:pPr>
        <w:rPr>
          <w:rFonts w:eastAsiaTheme="minorEastAsia"/>
        </w:rPr>
      </w:pPr>
      <m:oMath>
        <m:r>
          <w:rPr>
            <w:rFonts w:ascii="Cambria Math" w:hAnsi="Cambria Math"/>
          </w:rPr>
          <m:t>μ=</m:t>
        </m:r>
        <m:sSub>
          <m:sSubPr>
            <m:ctrlPr>
              <w:rPr>
                <w:rFonts w:ascii="Cambria Math" w:hAnsi="Cambria Math"/>
                <w:i/>
              </w:rPr>
            </m:ctrlPr>
          </m:sSubPr>
          <m:e>
            <m:r>
              <w:rPr>
                <w:rFonts w:ascii="Cambria Math" w:hAnsi="Cambria Math"/>
              </w:rPr>
              <m:t>ϕ</m:t>
            </m:r>
          </m:e>
          <m:sub>
            <m:r>
              <w:rPr>
                <w:rFonts w:ascii="Cambria Math" w:hAnsi="Cambria Math"/>
              </w:rPr>
              <m:t>RIB</m:t>
            </m:r>
          </m:sub>
        </m:sSub>
        <m:sSub>
          <m:sSubPr>
            <m:ctrlPr>
              <w:rPr>
                <w:rFonts w:ascii="Cambria Math" w:hAnsi="Cambria Math"/>
                <w:i/>
              </w:rPr>
            </m:ctrlPr>
          </m:sSubPr>
          <m:e>
            <m:r>
              <w:rPr>
                <w:rFonts w:ascii="Cambria Math" w:hAnsi="Cambria Math"/>
              </w:rPr>
              <m:t>a</m:t>
            </m:r>
          </m:e>
          <m:sub>
            <m:r>
              <w:rPr>
                <w:rFonts w:ascii="Cambria Math" w:hAnsi="Cambria Math"/>
              </w:rPr>
              <m:t>syn</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tot</m:t>
                </m:r>
              </m:sub>
            </m:sSub>
          </m:e>
        </m:d>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(S3-1)</w:t>
      </w:r>
    </w:p>
    <w:p w14:paraId="322C10F7" w14:textId="77777777" w:rsidR="0032151C" w:rsidRPr="00360E96" w:rsidRDefault="0032151C" w:rsidP="0032151C">
      <w:pPr>
        <w:rPr>
          <w:rFonts w:eastAsiaTheme="minorEastAsia"/>
        </w:rPr>
      </w:pPr>
    </w:p>
    <w:p w14:paraId="264F84E1" w14:textId="77777777" w:rsidR="0032151C" w:rsidRDefault="0032151C" w:rsidP="0032151C">
      <w:pPr>
        <w:rPr>
          <w:rFonts w:eastAsiaTheme="minorEastAsia"/>
          <w:bCs/>
        </w:rPr>
      </w:pPr>
      <m:oMath>
        <m:sSup>
          <m:sSupPr>
            <m:ctrlPr>
              <w:rPr>
                <w:rFonts w:ascii="Cambria Math" w:eastAsiaTheme="minorEastAsia" w:hAnsi="Cambria Math"/>
                <w:bCs/>
                <w:i/>
              </w:rPr>
            </m:ctrlPr>
          </m:sSupPr>
          <m:e>
            <m:r>
              <w:rPr>
                <w:rFonts w:ascii="Cambria Math" w:eastAsiaTheme="minorEastAsia" w:hAnsi="Cambria Math"/>
              </w:rPr>
              <m:t>V</m:t>
            </m:r>
          </m:e>
          <m:sup>
            <m:r>
              <w:rPr>
                <w:rFonts w:ascii="Cambria Math" w:eastAsiaTheme="minorEastAsia" w:hAnsi="Cambria Math"/>
              </w:rPr>
              <m:t>S</m:t>
            </m:r>
          </m:sup>
        </m:sSup>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μ</m:t>
            </m:r>
          </m:e>
          <m:sup>
            <m:r>
              <w:rPr>
                <w:rFonts w:ascii="Cambria Math" w:eastAsiaTheme="minorEastAsia" w:hAnsi="Cambria Math"/>
              </w:rPr>
              <m:t>S</m:t>
            </m:r>
          </m:sup>
        </m:sSup>
        <m:sSubSup>
          <m:sSubSupPr>
            <m:ctrlPr>
              <w:rPr>
                <w:rFonts w:ascii="Cambria Math" w:eastAsiaTheme="minorEastAsia" w:hAnsi="Cambria Math"/>
                <w:bCs/>
                <w:i/>
              </w:rPr>
            </m:ctrlPr>
          </m:sSubSupPr>
          <m:e>
            <m:r>
              <w:rPr>
                <w:rFonts w:ascii="Cambria Math" w:eastAsiaTheme="minorEastAsia" w:hAnsi="Cambria Math"/>
              </w:rPr>
              <m:t>Q</m:t>
            </m:r>
          </m:e>
          <m:sub>
            <m:r>
              <w:rPr>
                <w:rFonts w:ascii="Cambria Math" w:eastAsiaTheme="minorEastAsia" w:hAnsi="Cambria Math"/>
              </w:rPr>
              <m:t>tot</m:t>
            </m:r>
          </m:sub>
          <m:sup>
            <m:r>
              <w:rPr>
                <w:rFonts w:ascii="Cambria Math" w:eastAsiaTheme="minorEastAsia" w:hAnsi="Cambria Math"/>
              </w:rPr>
              <m:t>S</m:t>
            </m:r>
          </m:sup>
        </m:sSubSup>
      </m:oMath>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t>(S3-2)</w:t>
      </w:r>
    </w:p>
    <w:p w14:paraId="5F93937E" w14:textId="77777777" w:rsidR="0032151C" w:rsidRPr="00360E96" w:rsidRDefault="0032151C" w:rsidP="0032151C">
      <w:pPr>
        <w:rPr>
          <w:rFonts w:eastAsiaTheme="minorEastAsia"/>
          <w:bCs/>
        </w:rPr>
      </w:pPr>
    </w:p>
    <w:p w14:paraId="53A97D09" w14:textId="77777777" w:rsidR="0032151C" w:rsidRDefault="0032151C" w:rsidP="0032151C">
      <w:pPr>
        <w:rPr>
          <w:rFonts w:eastAsiaTheme="minorEastAsia"/>
          <w:bCs/>
        </w:rPr>
      </w:pPr>
      <m:oMath>
        <m:sSubSup>
          <m:sSubSupPr>
            <m:ctrlPr>
              <w:rPr>
                <w:rFonts w:ascii="Cambria Math" w:eastAsiaTheme="minorEastAsia" w:hAnsi="Cambria Math"/>
                <w:bCs/>
                <w:i/>
              </w:rPr>
            </m:ctrlPr>
          </m:sSubSupPr>
          <m:e>
            <m:r>
              <w:rPr>
                <w:rFonts w:ascii="Cambria Math" w:eastAsiaTheme="minorEastAsia" w:hAnsi="Cambria Math"/>
              </w:rPr>
              <m:t>Q</m:t>
            </m:r>
          </m:e>
          <m:sub>
            <m:r>
              <w:rPr>
                <w:rFonts w:ascii="Cambria Math" w:eastAsiaTheme="minorEastAsia" w:hAnsi="Cambria Math"/>
              </w:rPr>
              <m:t>tot</m:t>
            </m:r>
          </m:sub>
          <m:sup>
            <m:r>
              <w:rPr>
                <w:rFonts w:ascii="Cambria Math" w:eastAsiaTheme="minorEastAsia" w:hAnsi="Cambria Math"/>
              </w:rPr>
              <m:t>S</m:t>
            </m:r>
          </m:sup>
        </m:sSubSup>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PSA</m:t>
            </m:r>
          </m:sub>
        </m:sSub>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PSA</m:t>
            </m:r>
          </m:sub>
          <m:sup>
            <m:r>
              <w:rPr>
                <w:rFonts w:ascii="Cambria Math" w:eastAsiaTheme="minorEastAsia" w:hAnsi="Cambria Math"/>
              </w:rPr>
              <m:t>S</m:t>
            </m:r>
          </m:sup>
        </m:sSubSup>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RIB</m:t>
            </m:r>
          </m:sub>
          <m:sup>
            <m:r>
              <w:rPr>
                <w:rFonts w:ascii="Cambria Math" w:eastAsiaTheme="minorEastAsia" w:hAnsi="Cambria Math"/>
              </w:rPr>
              <m:t>S</m:t>
            </m:r>
          </m:sup>
        </m:sSubSup>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STR</m:t>
            </m:r>
          </m:sub>
        </m:sSub>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STR</m:t>
            </m:r>
          </m:sub>
          <m:sup>
            <m:r>
              <w:rPr>
                <w:rFonts w:ascii="Cambria Math" w:eastAsiaTheme="minorEastAsia" w:hAnsi="Cambria Math"/>
              </w:rPr>
              <m:t>S</m:t>
            </m:r>
          </m:sup>
        </m:sSubSup>
      </m:oMath>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t>(S3-3)</w:t>
      </w:r>
    </w:p>
    <w:p w14:paraId="3B8E38B8" w14:textId="77777777" w:rsidR="0032151C" w:rsidRDefault="0032151C" w:rsidP="0032151C">
      <w:pPr>
        <w:rPr>
          <w:rFonts w:eastAsiaTheme="minorEastAsia"/>
          <w:bCs/>
        </w:rPr>
      </w:pPr>
    </w:p>
    <w:p w14:paraId="282E9F2F" w14:textId="77777777" w:rsidR="0032151C" w:rsidRDefault="0032151C" w:rsidP="0032151C">
      <w:pPr>
        <w:rPr>
          <w:rFonts w:eastAsiaTheme="minorEastAsia"/>
          <w:bCs/>
        </w:rPr>
      </w:pPr>
      <w:r>
        <w:rPr>
          <w:rFonts w:eastAsiaTheme="minorEastAsia"/>
          <w:bCs/>
        </w:rPr>
        <w:t>Substituting (S3-2) and (S3-3) into (S3-1) yields:</w:t>
      </w:r>
    </w:p>
    <w:p w14:paraId="2A52EB97" w14:textId="77777777" w:rsidR="00D83184" w:rsidRDefault="00D83184" w:rsidP="0032151C">
      <w:pPr>
        <w:rPr>
          <w:rFonts w:eastAsiaTheme="minorEastAsia"/>
          <w:bCs/>
        </w:rPr>
      </w:pPr>
    </w:p>
    <w:p w14:paraId="1F9D8A8B" w14:textId="77777777" w:rsidR="0032151C" w:rsidRDefault="0032151C" w:rsidP="0032151C">
      <w:pPr>
        <w:rPr>
          <w:rFonts w:eastAsiaTheme="minorEastAsia"/>
          <w:bCs/>
        </w:rPr>
      </w:pPr>
      <m:oMath>
        <m:sSup>
          <m:sSupPr>
            <m:ctrlPr>
              <w:rPr>
                <w:rFonts w:ascii="Cambria Math" w:eastAsiaTheme="minorEastAsia" w:hAnsi="Cambria Math"/>
                <w:bCs/>
                <w:i/>
              </w:rPr>
            </m:ctrlPr>
          </m:sSupPr>
          <m:e>
            <m:r>
              <w:rPr>
                <w:rFonts w:ascii="Cambria Math" w:eastAsiaTheme="minorEastAsia" w:hAnsi="Cambria Math"/>
              </w:rPr>
              <m:t>V</m:t>
            </m:r>
          </m:e>
          <m:sup>
            <m:r>
              <w:rPr>
                <w:rFonts w:ascii="Cambria Math" w:eastAsiaTheme="minorEastAsia" w:hAnsi="Cambria Math"/>
              </w:rPr>
              <m:t>S</m:t>
            </m:r>
          </m:sup>
        </m:sSup>
        <m:r>
          <w:rPr>
            <w:rFonts w:ascii="Cambria Math" w:eastAsiaTheme="minorEastAsia" w:hAnsi="Cambria Math"/>
          </w:rPr>
          <m:t>=</m:t>
        </m:r>
        <m:sSub>
          <m:sSubPr>
            <m:ctrlPr>
              <w:rPr>
                <w:rFonts w:ascii="Cambria Math" w:hAnsi="Cambria Math"/>
                <w:i/>
              </w:rPr>
            </m:ctrlPr>
          </m:sSubPr>
          <m:e>
            <m:r>
              <w:rPr>
                <w:rFonts w:ascii="Cambria Math" w:hAnsi="Cambria Math"/>
              </w:rPr>
              <m:t>ϕ</m:t>
            </m:r>
          </m:e>
          <m:sub>
            <m:r>
              <w:rPr>
                <w:rFonts w:ascii="Cambria Math" w:hAnsi="Cambria Math"/>
              </w:rPr>
              <m:t>RIB</m:t>
            </m:r>
          </m:sub>
        </m:sSub>
        <m:sSub>
          <m:sSubPr>
            <m:ctrlPr>
              <w:rPr>
                <w:rFonts w:ascii="Cambria Math" w:hAnsi="Cambria Math"/>
                <w:i/>
              </w:rPr>
            </m:ctrlPr>
          </m:sSubPr>
          <m:e>
            <m:r>
              <w:rPr>
                <w:rFonts w:ascii="Cambria Math" w:hAnsi="Cambria Math"/>
              </w:rPr>
              <m:t>a</m:t>
            </m:r>
          </m:e>
          <m:sub>
            <m:r>
              <w:rPr>
                <w:rFonts w:ascii="Cambria Math" w:hAnsi="Cambria Math"/>
              </w:rPr>
              <m:t>syn</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tot</m:t>
                </m:r>
              </m:sub>
            </m:sSub>
          </m:e>
        </m:d>
        <m:d>
          <m:dPr>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PSA</m:t>
                </m:r>
              </m:sub>
            </m:sSub>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PSA</m:t>
                </m:r>
              </m:sub>
              <m:sup>
                <m:r>
                  <w:rPr>
                    <w:rFonts w:ascii="Cambria Math" w:eastAsiaTheme="minorEastAsia" w:hAnsi="Cambria Math"/>
                  </w:rPr>
                  <m:t>S</m:t>
                </m:r>
              </m:sup>
            </m:sSubSup>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RIB</m:t>
                </m:r>
              </m:sub>
              <m:sup>
                <m:r>
                  <w:rPr>
                    <w:rFonts w:ascii="Cambria Math" w:eastAsiaTheme="minorEastAsia" w:hAnsi="Cambria Math"/>
                  </w:rPr>
                  <m:t>S</m:t>
                </m:r>
              </m:sup>
            </m:sSubSup>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STR</m:t>
                </m:r>
              </m:sub>
            </m:sSub>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STR</m:t>
                </m:r>
              </m:sub>
              <m:sup>
                <m:r>
                  <w:rPr>
                    <w:rFonts w:ascii="Cambria Math" w:eastAsiaTheme="minorEastAsia" w:hAnsi="Cambria Math"/>
                  </w:rPr>
                  <m:t>S</m:t>
                </m:r>
              </m:sup>
            </m:sSubSup>
          </m:e>
        </m:d>
      </m:oMath>
      <w:r>
        <w:rPr>
          <w:rFonts w:eastAsiaTheme="minorEastAsia"/>
          <w:bCs/>
        </w:rPr>
        <w:t xml:space="preserve">  </w:t>
      </w:r>
      <w:r>
        <w:rPr>
          <w:rFonts w:eastAsiaTheme="minorEastAsia"/>
          <w:bCs/>
        </w:rPr>
        <w:tab/>
      </w:r>
      <w:r>
        <w:rPr>
          <w:rFonts w:eastAsiaTheme="minorEastAsia"/>
          <w:bCs/>
        </w:rPr>
        <w:tab/>
      </w:r>
      <w:r>
        <w:rPr>
          <w:rFonts w:eastAsiaTheme="minorEastAsia"/>
          <w:bCs/>
        </w:rPr>
        <w:tab/>
        <w:t>(S3-4)</w:t>
      </w:r>
    </w:p>
    <w:p w14:paraId="5A22AC8E" w14:textId="77777777" w:rsidR="0032151C" w:rsidRDefault="0032151C" w:rsidP="0032151C">
      <w:pPr>
        <w:rPr>
          <w:rFonts w:eastAsiaTheme="minorEastAsia"/>
          <w:bCs/>
        </w:rPr>
      </w:pPr>
    </w:p>
    <w:p w14:paraId="79D8C05F" w14:textId="77777777" w:rsidR="0032151C" w:rsidRDefault="0032151C" w:rsidP="0032151C">
      <w:pPr>
        <w:rPr>
          <w:rFonts w:eastAsiaTheme="minorEastAsia"/>
          <w:bCs/>
        </w:rPr>
      </w:pPr>
      <w:r>
        <w:rPr>
          <w:rFonts w:eastAsiaTheme="minorEastAsia"/>
          <w:bCs/>
        </w:rPr>
        <w:t xml:space="preserve">which can be rearranged using the relationship </w:t>
      </w:r>
      <m:oMath>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PSA</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d>
          <m:dPr>
            <m:ctrlPr>
              <w:rPr>
                <w:rFonts w:ascii="Cambria Math" w:eastAsiaTheme="minorEastAsia" w:hAnsi="Cambria Math"/>
                <w:bCs/>
                <w:i/>
              </w:rPr>
            </m:ctrlPr>
          </m:dPr>
          <m:e>
            <m:f>
              <m:fPr>
                <m:type m:val="lin"/>
                <m:ctrlPr>
                  <w:rPr>
                    <w:rFonts w:ascii="Cambria Math" w:eastAsiaTheme="minorEastAsia" w:hAnsi="Cambria Math"/>
                    <w:bCs/>
                    <w:i/>
                  </w:rPr>
                </m:ctrlPr>
              </m:fPr>
              <m:num>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PSA</m:t>
                    </m:r>
                  </m:sub>
                </m:sSub>
              </m:num>
              <m:den>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den>
            </m:f>
          </m:e>
        </m:d>
      </m:oMath>
      <w:r>
        <w:rPr>
          <w:rFonts w:eastAsiaTheme="minorEastAsia"/>
          <w:bCs/>
        </w:rPr>
        <w:t xml:space="preserve"> to equal:</w:t>
      </w:r>
    </w:p>
    <w:p w14:paraId="43C6525F" w14:textId="77777777" w:rsidR="00D83184" w:rsidRDefault="00D83184" w:rsidP="0032151C">
      <w:pPr>
        <w:rPr>
          <w:rFonts w:eastAsiaTheme="minorEastAsia"/>
          <w:bCs/>
        </w:rPr>
      </w:pPr>
    </w:p>
    <w:p w14:paraId="0B590077" w14:textId="77777777" w:rsidR="0032151C" w:rsidRDefault="0032151C" w:rsidP="0032151C">
      <w:pPr>
        <w:rPr>
          <w:rFonts w:eastAsiaTheme="minorEastAsia"/>
          <w:bCs/>
        </w:rPr>
      </w:pPr>
      <m:oMath>
        <m:r>
          <w:rPr>
            <w:rFonts w:ascii="Cambria Math" w:eastAsiaTheme="minorEastAsia" w:hAnsi="Cambria Math"/>
          </w:rPr>
          <m:t>0=</m:t>
        </m:r>
        <m:sSub>
          <m:sSubPr>
            <m:ctrlPr>
              <w:rPr>
                <w:rFonts w:ascii="Cambria Math" w:hAnsi="Cambria Math"/>
                <w:i/>
              </w:rPr>
            </m:ctrlPr>
          </m:sSubPr>
          <m:e>
            <m:r>
              <w:rPr>
                <w:rFonts w:ascii="Cambria Math" w:hAnsi="Cambria Math"/>
              </w:rPr>
              <m:t>ϕ</m:t>
            </m:r>
          </m:e>
          <m:sub>
            <m:r>
              <w:rPr>
                <w:rFonts w:ascii="Cambria Math" w:hAnsi="Cambria Math"/>
              </w:rPr>
              <m:t>RIB</m:t>
            </m:r>
          </m:sub>
        </m:sSub>
        <m:sSub>
          <m:sSubPr>
            <m:ctrlPr>
              <w:rPr>
                <w:rFonts w:ascii="Cambria Math" w:hAnsi="Cambria Math"/>
                <w:i/>
              </w:rPr>
            </m:ctrlPr>
          </m:sSubPr>
          <m:e>
            <m:r>
              <w:rPr>
                <w:rFonts w:ascii="Cambria Math" w:hAnsi="Cambria Math"/>
              </w:rPr>
              <m:t>a</m:t>
            </m:r>
          </m:e>
          <m:sub>
            <m:r>
              <w:rPr>
                <w:rFonts w:ascii="Cambria Math" w:hAnsi="Cambria Math"/>
              </w:rPr>
              <m:t>syn</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tot</m:t>
                </m:r>
              </m:sub>
            </m:sSub>
          </m:e>
        </m:d>
        <m:d>
          <m:dPr>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d>
              <m:dPr>
                <m:ctrlPr>
                  <w:rPr>
                    <w:rFonts w:ascii="Cambria Math" w:eastAsiaTheme="minorEastAsia" w:hAnsi="Cambria Math"/>
                    <w:bCs/>
                    <w:i/>
                  </w:rPr>
                </m:ctrlPr>
              </m:dPr>
              <m:e>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RIB</m:t>
                    </m:r>
                  </m:sub>
                  <m:sup>
                    <m:r>
                      <w:rPr>
                        <w:rFonts w:ascii="Cambria Math" w:eastAsiaTheme="minorEastAsia" w:hAnsi="Cambria Math"/>
                      </w:rPr>
                      <m:t>S</m:t>
                    </m:r>
                  </m:sup>
                </m:sSubSup>
                <m:r>
                  <w:rPr>
                    <w:rFonts w:ascii="Cambria Math" w:eastAsiaTheme="minorEastAsia" w:hAnsi="Cambria Math"/>
                  </w:rPr>
                  <m:t>+</m:t>
                </m:r>
                <m:d>
                  <m:dPr>
                    <m:ctrlPr>
                      <w:rPr>
                        <w:rFonts w:ascii="Cambria Math" w:eastAsiaTheme="minorEastAsia" w:hAnsi="Cambria Math"/>
                        <w:bCs/>
                        <w:i/>
                      </w:rPr>
                    </m:ctrlPr>
                  </m:dPr>
                  <m:e>
                    <m:f>
                      <m:fPr>
                        <m:type m:val="lin"/>
                        <m:ctrlPr>
                          <w:rPr>
                            <w:rFonts w:ascii="Cambria Math" w:eastAsiaTheme="minorEastAsia" w:hAnsi="Cambria Math"/>
                            <w:bCs/>
                            <w:i/>
                          </w:rPr>
                        </m:ctrlPr>
                      </m:fPr>
                      <m:num>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PSA</m:t>
                            </m:r>
                          </m:sub>
                        </m:sSub>
                      </m:num>
                      <m:den>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den>
                    </m:f>
                  </m:e>
                </m:d>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PSA</m:t>
                    </m:r>
                  </m:sub>
                  <m:sup>
                    <m:r>
                      <w:rPr>
                        <w:rFonts w:ascii="Cambria Math" w:eastAsiaTheme="minorEastAsia" w:hAnsi="Cambria Math"/>
                      </w:rPr>
                      <m:t>S</m:t>
                    </m:r>
                  </m:sup>
                </m:sSubSup>
              </m:e>
            </m:d>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STR</m:t>
                </m:r>
              </m:sub>
            </m:sSub>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STR</m:t>
                </m:r>
              </m:sub>
              <m:sup>
                <m:r>
                  <w:rPr>
                    <w:rFonts w:ascii="Cambria Math" w:eastAsiaTheme="minorEastAsia" w:hAnsi="Cambria Math"/>
                  </w:rPr>
                  <m:t>S</m:t>
                </m:r>
              </m:sup>
            </m:sSubSup>
          </m:e>
        </m:d>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V</m:t>
            </m:r>
          </m:e>
          <m:sup>
            <m:r>
              <w:rPr>
                <w:rFonts w:ascii="Cambria Math" w:eastAsiaTheme="minorEastAsia" w:hAnsi="Cambria Math"/>
              </w:rPr>
              <m:t>S</m:t>
            </m:r>
          </m:sup>
        </m:sSup>
      </m:oMath>
      <w:r>
        <w:rPr>
          <w:rFonts w:eastAsiaTheme="minorEastAsia"/>
          <w:bCs/>
        </w:rPr>
        <w:t xml:space="preserve">  </w:t>
      </w:r>
      <w:r>
        <w:rPr>
          <w:rFonts w:eastAsiaTheme="minorEastAsia"/>
          <w:bCs/>
        </w:rPr>
        <w:tab/>
        <w:t>(S3-5)</w:t>
      </w:r>
    </w:p>
    <w:p w14:paraId="7F42A8E3" w14:textId="77777777" w:rsidR="0032151C" w:rsidRDefault="0032151C" w:rsidP="0032151C">
      <w:pPr>
        <w:rPr>
          <w:rFonts w:eastAsiaTheme="minorEastAsia"/>
          <w:bCs/>
        </w:rPr>
      </w:pPr>
    </w:p>
    <w:p w14:paraId="707383C2" w14:textId="77777777" w:rsidR="0032151C" w:rsidRDefault="0032151C" w:rsidP="0032151C">
      <w:pPr>
        <w:rPr>
          <w:rFonts w:eastAsiaTheme="minorEastAsia"/>
          <w:bCs/>
        </w:rPr>
      </w:pPr>
      <w:r>
        <w:rPr>
          <w:rFonts w:eastAsiaTheme="minorEastAsia"/>
          <w:bCs/>
        </w:rPr>
        <w:t xml:space="preserve">which can be arranged in a quadratic form </w:t>
      </w:r>
      <m:oMath>
        <m:r>
          <w:rPr>
            <w:rFonts w:ascii="Cambria Math" w:eastAsiaTheme="minorEastAsia" w:hAnsi="Cambria Math"/>
          </w:rPr>
          <m:t>0=</m:t>
        </m:r>
        <m:sSup>
          <m:sSupPr>
            <m:ctrlPr>
              <w:rPr>
                <w:rFonts w:ascii="Cambria Math" w:hAnsi="Cambria Math"/>
                <w:i/>
              </w:rPr>
            </m:ctrlPr>
          </m:sSupPr>
          <m:e>
            <m:sSub>
              <m:sSubPr>
                <m:ctrlPr>
                  <w:rPr>
                    <w:rFonts w:ascii="Cambria Math" w:hAnsi="Cambria Math"/>
                    <w:i/>
                  </w:rPr>
                </m:ctrlPr>
              </m:sSubPr>
              <m:e>
                <m:r>
                  <w:rPr>
                    <w:rFonts w:ascii="Cambria Math" w:hAnsi="Cambria Math"/>
                  </w:rPr>
                  <m:t>aϕ</m:t>
                </m:r>
              </m:e>
              <m:sub>
                <m:r>
                  <w:rPr>
                    <w:rFonts w:ascii="Cambria Math" w:hAnsi="Cambria Math"/>
                  </w:rPr>
                  <m:t>RIB</m:t>
                </m:r>
              </m:sub>
            </m:sSub>
          </m:e>
          <m:sup>
            <m:r>
              <w:rPr>
                <w:rFonts w:ascii="Cambria Math" w:hAnsi="Cambria Math"/>
              </w:rPr>
              <m:t>2</m:t>
            </m:r>
          </m:sup>
        </m:sSup>
        <m:r>
          <w:rPr>
            <w:rFonts w:ascii="Cambria Math" w:hAnsi="Cambria Math"/>
          </w:rPr>
          <m:t>+</m:t>
        </m:r>
        <m:sSub>
          <m:sSubPr>
            <m:ctrlPr>
              <w:rPr>
                <w:rFonts w:ascii="Cambria Math" w:eastAsiaTheme="minorEastAsia" w:hAnsi="Cambria Math"/>
                <w:bCs/>
                <w:i/>
              </w:rPr>
            </m:ctrlPr>
          </m:sSubPr>
          <m:e>
            <m:r>
              <w:rPr>
                <w:rFonts w:ascii="Cambria Math" w:eastAsiaTheme="minorEastAsia" w:hAnsi="Cambria Math"/>
              </w:rPr>
              <m:t>bϕ</m:t>
            </m:r>
          </m:e>
          <m:sub>
            <m:r>
              <w:rPr>
                <w:rFonts w:ascii="Cambria Math" w:eastAsiaTheme="minorEastAsia" w:hAnsi="Cambria Math"/>
              </w:rPr>
              <m:t>RIB</m:t>
            </m:r>
          </m:sub>
        </m:sSub>
        <m:r>
          <w:rPr>
            <w:rFonts w:ascii="Cambria Math" w:eastAsiaTheme="minorEastAsia" w:hAnsi="Cambria Math"/>
          </w:rPr>
          <m:t>+c</m:t>
        </m:r>
      </m:oMath>
      <w:r>
        <w:rPr>
          <w:rFonts w:eastAsiaTheme="minorEastAsia"/>
          <w:bCs/>
        </w:rPr>
        <w:t>:</w:t>
      </w:r>
    </w:p>
    <w:p w14:paraId="4A24DAF8" w14:textId="77777777" w:rsidR="00D83184" w:rsidRDefault="00D83184" w:rsidP="0032151C">
      <w:pPr>
        <w:rPr>
          <w:rFonts w:eastAsiaTheme="minorEastAsia"/>
          <w:bCs/>
        </w:rPr>
      </w:pPr>
    </w:p>
    <w:p w14:paraId="1A92A1F7" w14:textId="77777777" w:rsidR="0032151C" w:rsidRDefault="0032151C" w:rsidP="0032151C">
      <w:pPr>
        <w:rPr>
          <w:rFonts w:eastAsiaTheme="minorEastAsia"/>
          <w:bCs/>
        </w:rPr>
      </w:pPr>
      <m:oMath>
        <m:r>
          <w:rPr>
            <w:rFonts w:ascii="Cambria Math" w:eastAsiaTheme="minorEastAsia" w:hAnsi="Cambria Math"/>
          </w:rPr>
          <m:t>0=</m:t>
        </m:r>
        <m:sSup>
          <m:sSupPr>
            <m:ctrlPr>
              <w:rPr>
                <w:rFonts w:ascii="Cambria Math" w:hAnsi="Cambria Math"/>
                <w:i/>
              </w:rPr>
            </m:ctrlPr>
          </m:sSupPr>
          <m:e>
            <m:sSub>
              <m:sSubPr>
                <m:ctrlPr>
                  <w:rPr>
                    <w:rFonts w:ascii="Cambria Math" w:hAnsi="Cambria Math"/>
                    <w:i/>
                  </w:rPr>
                </m:ctrlPr>
              </m:sSubPr>
              <m:e>
                <m:r>
                  <w:rPr>
                    <w:rFonts w:ascii="Cambria Math" w:hAnsi="Cambria Math"/>
                  </w:rPr>
                  <m:t>ϕ</m:t>
                </m:r>
              </m:e>
              <m:sub>
                <m:r>
                  <w:rPr>
                    <w:rFonts w:ascii="Cambria Math" w:hAnsi="Cambria Math"/>
                  </w:rPr>
                  <m:t>RIB</m:t>
                </m:r>
              </m:sub>
            </m:sSub>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syn</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tot</m:t>
                    </m:r>
                  </m:sub>
                </m:sSub>
              </m:e>
            </m:d>
            <m:d>
              <m:dPr>
                <m:ctrlPr>
                  <w:rPr>
                    <w:rFonts w:ascii="Cambria Math" w:eastAsiaTheme="minorEastAsia" w:hAnsi="Cambria Math"/>
                    <w:bCs/>
                    <w:i/>
                  </w:rPr>
                </m:ctrlPr>
              </m:dPr>
              <m:e>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RIB</m:t>
                    </m:r>
                  </m:sub>
                  <m:sup>
                    <m:r>
                      <w:rPr>
                        <w:rFonts w:ascii="Cambria Math" w:eastAsiaTheme="minorEastAsia" w:hAnsi="Cambria Math"/>
                      </w:rPr>
                      <m:t>S</m:t>
                    </m:r>
                  </m:sup>
                </m:sSubSup>
                <m:r>
                  <w:rPr>
                    <w:rFonts w:ascii="Cambria Math" w:eastAsiaTheme="minorEastAsia" w:hAnsi="Cambria Math"/>
                  </w:rPr>
                  <m:t>+</m:t>
                </m:r>
                <m:d>
                  <m:dPr>
                    <m:ctrlPr>
                      <w:rPr>
                        <w:rFonts w:ascii="Cambria Math" w:eastAsiaTheme="minorEastAsia" w:hAnsi="Cambria Math"/>
                        <w:bCs/>
                        <w:i/>
                      </w:rPr>
                    </m:ctrlPr>
                  </m:dPr>
                  <m:e>
                    <m:f>
                      <m:fPr>
                        <m:type m:val="lin"/>
                        <m:ctrlPr>
                          <w:rPr>
                            <w:rFonts w:ascii="Cambria Math" w:eastAsiaTheme="minorEastAsia" w:hAnsi="Cambria Math"/>
                            <w:bCs/>
                            <w:i/>
                          </w:rPr>
                        </m:ctrlPr>
                      </m:fPr>
                      <m:num>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PSA</m:t>
                            </m:r>
                          </m:sub>
                        </m:sSub>
                      </m:num>
                      <m:den>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den>
                    </m:f>
                  </m:e>
                </m:d>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PSA</m:t>
                    </m:r>
                  </m:sub>
                  <m:sup>
                    <m:r>
                      <w:rPr>
                        <w:rFonts w:ascii="Cambria Math" w:eastAsiaTheme="minorEastAsia" w:hAnsi="Cambria Math"/>
                      </w:rPr>
                      <m:t>S</m:t>
                    </m:r>
                  </m:sup>
                </m:sSubSup>
              </m:e>
            </m:d>
          </m:e>
        </m:d>
        <m:r>
          <w:rPr>
            <w:rFonts w:ascii="Cambria Math"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d>
          <m:dPr>
            <m:ctrlPr>
              <w:rPr>
                <w:rFonts w:ascii="Cambria Math" w:eastAsiaTheme="minorEastAsia" w:hAnsi="Cambria Math"/>
                <w:bCs/>
                <w:i/>
              </w:rPr>
            </m:ctrlPr>
          </m:dPr>
          <m:e>
            <m:sSub>
              <m:sSubPr>
                <m:ctrlPr>
                  <w:rPr>
                    <w:rFonts w:ascii="Cambria Math" w:hAnsi="Cambria Math"/>
                    <w:i/>
                  </w:rPr>
                </m:ctrlPr>
              </m:sSubPr>
              <m:e>
                <m:r>
                  <w:rPr>
                    <w:rFonts w:ascii="Cambria Math" w:hAnsi="Cambria Math"/>
                  </w:rPr>
                  <m:t>a</m:t>
                </m:r>
              </m:e>
              <m:sub>
                <m:r>
                  <w:rPr>
                    <w:rFonts w:ascii="Cambria Math" w:hAnsi="Cambria Math"/>
                  </w:rPr>
                  <m:t>syn</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tot</m:t>
                    </m:r>
                  </m:sub>
                </m:sSub>
              </m:e>
            </m:d>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STR</m:t>
                </m:r>
              </m:sub>
            </m:sSub>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STR</m:t>
                </m:r>
              </m:sub>
              <m:sup>
                <m:r>
                  <w:rPr>
                    <w:rFonts w:ascii="Cambria Math" w:eastAsiaTheme="minorEastAsia" w:hAnsi="Cambria Math"/>
                  </w:rPr>
                  <m:t>S</m:t>
                </m:r>
              </m:sup>
            </m:sSubSup>
          </m:e>
        </m:d>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V</m:t>
            </m:r>
          </m:e>
          <m:sup>
            <m:r>
              <w:rPr>
                <w:rFonts w:ascii="Cambria Math" w:eastAsiaTheme="minorEastAsia" w:hAnsi="Cambria Math"/>
              </w:rPr>
              <m:t>S</m:t>
            </m:r>
          </m:sup>
        </m:sSup>
      </m:oMath>
      <w:r>
        <w:rPr>
          <w:rFonts w:eastAsiaTheme="minorEastAsia"/>
          <w:bCs/>
        </w:rPr>
        <w:t xml:space="preserve"> </w:t>
      </w:r>
    </w:p>
    <w:p w14:paraId="065C3735" w14:textId="77777777" w:rsidR="0032151C" w:rsidRDefault="0032151C" w:rsidP="0032151C">
      <w:pPr>
        <w:rPr>
          <w:rFonts w:eastAsiaTheme="minorEastAsia"/>
          <w:bCs/>
        </w:rPr>
      </w:pP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t>(S3-6)</w:t>
      </w:r>
    </w:p>
    <w:p w14:paraId="1ABEA1C1" w14:textId="77777777" w:rsidR="0032151C" w:rsidRDefault="0032151C" w:rsidP="0032151C">
      <w:pPr>
        <w:rPr>
          <w:rFonts w:eastAsiaTheme="minorEastAsia"/>
          <w:bCs/>
        </w:rPr>
      </w:pPr>
      <w:r>
        <w:rPr>
          <w:rFonts w:eastAsiaTheme="minorEastAsia"/>
          <w:bCs/>
        </w:rPr>
        <w:t xml:space="preserve">Further, we note that the ratio </w:t>
      </w:r>
      <m:oMath>
        <m:d>
          <m:dPr>
            <m:ctrlPr>
              <w:rPr>
                <w:rFonts w:ascii="Cambria Math" w:eastAsiaTheme="minorEastAsia" w:hAnsi="Cambria Math"/>
                <w:bCs/>
                <w:i/>
              </w:rPr>
            </m:ctrlPr>
          </m:dPr>
          <m:e>
            <m:f>
              <m:fPr>
                <m:type m:val="lin"/>
                <m:ctrlPr>
                  <w:rPr>
                    <w:rFonts w:ascii="Cambria Math" w:eastAsiaTheme="minorEastAsia" w:hAnsi="Cambria Math"/>
                    <w:bCs/>
                    <w:i/>
                  </w:rPr>
                </m:ctrlPr>
              </m:fPr>
              <m:num>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PSA</m:t>
                    </m:r>
                  </m:sub>
                </m:sSub>
              </m:num>
              <m:den>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den>
            </m:f>
          </m:e>
        </m:d>
      </m:oMath>
      <w:r>
        <w:rPr>
          <w:rFonts w:eastAsiaTheme="minorEastAsia"/>
          <w:bCs/>
        </w:rPr>
        <w:t xml:space="preserve"> is a constant and can be solved using the ATP balance and the relationship </w:t>
      </w:r>
      <m:oMath>
        <m:sSub>
          <m:sSubPr>
            <m:ctrlPr>
              <w:rPr>
                <w:rFonts w:ascii="Cambria Math" w:eastAsiaTheme="minorEastAsia" w:hAnsi="Cambria Math"/>
                <w:bCs/>
                <w:i/>
              </w:rPr>
            </m:ctrlPr>
          </m:sSubPr>
          <m:e>
            <m:sSub>
              <m:sSubPr>
                <m:ctrlPr>
                  <w:rPr>
                    <w:rFonts w:ascii="Cambria Math" w:hAnsi="Cambria Math"/>
                    <w:i/>
                  </w:rPr>
                </m:ctrlPr>
              </m:sSubPr>
              <m:e>
                <m:r>
                  <w:rPr>
                    <w:rFonts w:ascii="Cambria Math" w:hAnsi="Cambria Math"/>
                  </w:rPr>
                  <m:t>a</m:t>
                </m:r>
              </m:e>
              <m:sub>
                <m:r>
                  <w:rPr>
                    <w:rFonts w:ascii="Cambria Math" w:hAnsi="Cambria Math"/>
                  </w:rPr>
                  <m:t>PSA</m:t>
                </m:r>
              </m:sub>
            </m:sSub>
            <m:r>
              <w:rPr>
                <w:rFonts w:ascii="Cambria Math" w:eastAsiaTheme="minorEastAsia" w:hAnsi="Cambria Math"/>
              </w:rPr>
              <m:t>ϕ</m:t>
            </m:r>
          </m:e>
          <m:sub>
            <m:r>
              <w:rPr>
                <w:rFonts w:ascii="Cambria Math" w:eastAsiaTheme="minorEastAsia" w:hAnsi="Cambria Math"/>
              </w:rPr>
              <m:t>lpet</m:t>
            </m:r>
          </m:sub>
        </m:sSub>
        <m:r>
          <w:rPr>
            <w:rFonts w:ascii="Cambria Math" w:eastAsiaTheme="minorEastAsia" w:hAnsi="Cambria Math"/>
          </w:rPr>
          <m:t>=</m:t>
        </m:r>
        <m:sSub>
          <m:sSubPr>
            <m:ctrlPr>
              <w:rPr>
                <w:rFonts w:ascii="Cambria Math" w:eastAsiaTheme="minorEastAsia" w:hAnsi="Cambria Math"/>
                <w:bCs/>
                <w:i/>
              </w:rPr>
            </m:ctrlPr>
          </m:sSubPr>
          <m:e>
            <m:sSub>
              <m:sSubPr>
                <m:ctrlPr>
                  <w:rPr>
                    <w:rFonts w:ascii="Cambria Math" w:hAnsi="Cambria Math"/>
                    <w:i/>
                  </w:rPr>
                </m:ctrlPr>
              </m:sSubPr>
              <m:e>
                <m:r>
                  <w:rPr>
                    <w:rFonts w:ascii="Cambria Math" w:hAnsi="Cambria Math"/>
                  </w:rPr>
                  <m:t>a</m:t>
                </m:r>
              </m:e>
              <m:sub>
                <m:r>
                  <w:rPr>
                    <w:rFonts w:ascii="Cambria Math" w:hAnsi="Cambria Math"/>
                  </w:rPr>
                  <m:t>syn</m:t>
                </m:r>
              </m:sub>
            </m:sSub>
            <m:r>
              <w:rPr>
                <w:rFonts w:ascii="Cambria Math" w:eastAsiaTheme="minorEastAsia" w:hAnsi="Cambria Math"/>
              </w:rPr>
              <m:t>ϕ</m:t>
            </m:r>
          </m:e>
          <m:sub>
            <m:r>
              <w:rPr>
                <w:rFonts w:ascii="Cambria Math" w:eastAsiaTheme="minorEastAsia" w:hAnsi="Cambria Math"/>
              </w:rPr>
              <m:t>RIB</m:t>
            </m:r>
          </m:sub>
        </m:sSub>
      </m:oMath>
      <w:r>
        <w:rPr>
          <w:rFonts w:eastAsiaTheme="minorEastAsia"/>
          <w:bCs/>
        </w:rPr>
        <w:t>:</w:t>
      </w:r>
    </w:p>
    <w:p w14:paraId="02F13124" w14:textId="77777777" w:rsidR="00D83184" w:rsidRDefault="00D83184" w:rsidP="0032151C">
      <w:pPr>
        <w:rPr>
          <w:rFonts w:eastAsiaTheme="minorEastAsia"/>
          <w:bCs/>
        </w:rPr>
      </w:pPr>
    </w:p>
    <w:p w14:paraId="1E50371E" w14:textId="77777777" w:rsidR="0032151C" w:rsidRDefault="0032151C" w:rsidP="0032151C">
      <w:pPr>
        <w:rPr>
          <w:rFonts w:eastAsiaTheme="minorEastAsia"/>
          <w:bCs/>
        </w:rPr>
      </w:pPr>
      <m:oMath>
        <m:sSub>
          <m:sSubPr>
            <m:ctrlPr>
              <w:rPr>
                <w:rFonts w:ascii="Cambria Math" w:hAnsi="Cambria Math"/>
                <w:bCs/>
                <w:i/>
              </w:rPr>
            </m:ctrlPr>
          </m:sSubPr>
          <m:e>
            <m:sSub>
              <m:sSubPr>
                <m:ctrlPr>
                  <w:rPr>
                    <w:rFonts w:ascii="Cambria Math" w:eastAsiaTheme="minorEastAsia" w:hAnsi="Cambria Math"/>
                    <w:bCs/>
                    <w:i/>
                  </w:rPr>
                </m:ctrlPr>
              </m:sSubPr>
              <m:e>
                <m:sSub>
                  <m:sSubPr>
                    <m:ctrlPr>
                      <w:rPr>
                        <w:rFonts w:ascii="Cambria Math" w:hAnsi="Cambria Math"/>
                        <w:i/>
                      </w:rPr>
                    </m:ctrlPr>
                  </m:sSubPr>
                  <m:e>
                    <m:r>
                      <w:rPr>
                        <w:rFonts w:ascii="Cambria Math" w:hAnsi="Cambria Math"/>
                      </w:rPr>
                      <m:t>a</m:t>
                    </m:r>
                  </m:e>
                  <m:sub>
                    <m:r>
                      <w:rPr>
                        <w:rFonts w:ascii="Cambria Math" w:hAnsi="Cambria Math"/>
                      </w:rPr>
                      <m:t>PSA</m:t>
                    </m:r>
                  </m:sub>
                </m:sSub>
                <m:r>
                  <w:rPr>
                    <w:rFonts w:ascii="Cambria Math" w:eastAsiaTheme="minorEastAsia" w:hAnsi="Cambria Math"/>
                  </w:rPr>
                  <m:t>ϕ</m:t>
                </m:r>
              </m:e>
              <m:sub>
                <m:r>
                  <w:rPr>
                    <w:rFonts w:ascii="Cambria Math" w:eastAsiaTheme="minorEastAsia" w:hAnsi="Cambria Math"/>
                  </w:rPr>
                  <m:t>aet</m:t>
                </m:r>
              </m:sub>
            </m:sSub>
            <m:r>
              <w:rPr>
                <w:rFonts w:ascii="Cambria Math" w:hAnsi="Cambria Math"/>
              </w:rPr>
              <m:t>A</m:t>
            </m:r>
          </m:e>
          <m:sub>
            <m:r>
              <w:rPr>
                <w:rFonts w:ascii="Cambria Math" w:hAnsi="Cambria Math"/>
              </w:rPr>
              <m:t>aet</m:t>
            </m:r>
          </m:sub>
        </m:sSub>
        <m:r>
          <w:rPr>
            <w:rFonts w:ascii="Cambria Math" w:hAnsi="Cambria Math"/>
          </w:rPr>
          <m:t>+</m:t>
        </m:r>
        <m:sSub>
          <m:sSubPr>
            <m:ctrlPr>
              <w:rPr>
                <w:rFonts w:ascii="Cambria Math" w:eastAsiaTheme="minorEastAsia" w:hAnsi="Cambria Math"/>
                <w:bCs/>
                <w:i/>
              </w:rPr>
            </m:ctrlPr>
          </m:sSubPr>
          <m:e>
            <m:sSub>
              <m:sSubPr>
                <m:ctrlPr>
                  <w:rPr>
                    <w:rFonts w:ascii="Cambria Math" w:hAnsi="Cambria Math"/>
                    <w:i/>
                  </w:rPr>
                </m:ctrlPr>
              </m:sSubPr>
              <m:e>
                <m:r>
                  <w:rPr>
                    <w:rFonts w:ascii="Cambria Math" w:hAnsi="Cambria Math"/>
                  </w:rPr>
                  <m:t>a</m:t>
                </m:r>
              </m:e>
              <m:sub>
                <m:r>
                  <w:rPr>
                    <w:rFonts w:ascii="Cambria Math" w:hAnsi="Cambria Math"/>
                  </w:rPr>
                  <m:t>PSA</m:t>
                </m:r>
              </m:sub>
            </m:sSub>
            <m:r>
              <w:rPr>
                <w:rFonts w:ascii="Cambria Math" w:eastAsiaTheme="minorEastAsia" w:hAnsi="Cambria Math"/>
              </w:rPr>
              <m:t>ϕ</m:t>
            </m:r>
          </m:e>
          <m:sub>
            <m:r>
              <w:rPr>
                <w:rFonts w:ascii="Cambria Math" w:eastAsiaTheme="minorEastAsia" w:hAnsi="Cambria Math"/>
              </w:rPr>
              <m:t>lpet</m:t>
            </m:r>
          </m:sub>
        </m:sSub>
        <m:sSub>
          <m:sSubPr>
            <m:ctrlPr>
              <w:rPr>
                <w:rFonts w:ascii="Cambria Math" w:hAnsi="Cambria Math"/>
                <w:bCs/>
                <w:i/>
              </w:rPr>
            </m:ctrlPr>
          </m:sSubPr>
          <m:e>
            <m:r>
              <w:rPr>
                <w:rFonts w:ascii="Cambria Math" w:hAnsi="Cambria Math"/>
              </w:rPr>
              <m:t>A</m:t>
            </m:r>
          </m:e>
          <m:sub>
            <m:r>
              <w:rPr>
                <w:rFonts w:ascii="Cambria Math" w:hAnsi="Cambria Math"/>
              </w:rPr>
              <m:t>lpet</m:t>
            </m:r>
          </m:sub>
        </m:sSub>
        <m:r>
          <w:rPr>
            <w:rFonts w:ascii="Cambria Math" w:eastAsiaTheme="minorEastAsia" w:hAnsi="Cambria Math"/>
          </w:rPr>
          <m:t>+</m:t>
        </m:r>
        <m:sSub>
          <m:sSubPr>
            <m:ctrlPr>
              <w:rPr>
                <w:rFonts w:ascii="Cambria Math" w:hAnsi="Cambria Math"/>
                <w:bCs/>
                <w:i/>
              </w:rPr>
            </m:ctrlPr>
          </m:sSubPr>
          <m:e>
            <m:sSub>
              <m:sSubPr>
                <m:ctrlPr>
                  <w:rPr>
                    <w:rFonts w:ascii="Cambria Math" w:eastAsiaTheme="minorEastAsia" w:hAnsi="Cambria Math"/>
                    <w:bCs/>
                    <w:i/>
                  </w:rPr>
                </m:ctrlPr>
              </m:sSubPr>
              <m:e>
                <m:sSub>
                  <m:sSubPr>
                    <m:ctrlPr>
                      <w:rPr>
                        <w:rFonts w:ascii="Cambria Math" w:hAnsi="Cambria Math"/>
                        <w:i/>
                      </w:rPr>
                    </m:ctrlPr>
                  </m:sSubPr>
                  <m:e>
                    <m:r>
                      <w:rPr>
                        <w:rFonts w:ascii="Cambria Math" w:hAnsi="Cambria Math"/>
                      </w:rPr>
                      <m:t>a</m:t>
                    </m:r>
                  </m:e>
                  <m:sub>
                    <m:r>
                      <w:rPr>
                        <w:rFonts w:ascii="Cambria Math" w:hAnsi="Cambria Math"/>
                      </w:rPr>
                      <m:t>syn</m:t>
                    </m:r>
                  </m:sub>
                </m:sSub>
                <m:r>
                  <w:rPr>
                    <w:rFonts w:ascii="Cambria Math" w:eastAsiaTheme="minorEastAsia" w:hAnsi="Cambria Math"/>
                  </w:rPr>
                  <m:t>ϕ</m:t>
                </m:r>
              </m:e>
              <m:sub>
                <m:r>
                  <w:rPr>
                    <w:rFonts w:ascii="Cambria Math" w:eastAsiaTheme="minorEastAsia" w:hAnsi="Cambria Math"/>
                  </w:rPr>
                  <m:t>RIB</m:t>
                </m:r>
              </m:sub>
            </m:sSub>
            <m:r>
              <w:rPr>
                <w:rFonts w:ascii="Cambria Math" w:hAnsi="Cambria Math"/>
              </w:rPr>
              <m:t>A</m:t>
            </m:r>
          </m:e>
          <m:sub>
            <m:r>
              <w:rPr>
                <w:rFonts w:ascii="Cambria Math" w:hAnsi="Cambria Math"/>
              </w:rPr>
              <m:t>cal</m:t>
            </m:r>
          </m:sub>
        </m:sSub>
        <m:r>
          <w:rPr>
            <w:rFonts w:ascii="Cambria Math" w:hAnsi="Cambria Math"/>
          </w:rPr>
          <m:t>=0</m:t>
        </m:r>
      </m:oMath>
      <w:r>
        <w:rPr>
          <w:rFonts w:eastAsiaTheme="minorEastAsia"/>
          <w:bCs/>
        </w:rPr>
        <w:t xml:space="preserve"> </w:t>
      </w:r>
      <w:r>
        <w:rPr>
          <w:rFonts w:eastAsiaTheme="minorEastAsia"/>
          <w:bCs/>
        </w:rPr>
        <w:tab/>
      </w:r>
      <w:r>
        <w:rPr>
          <w:rFonts w:eastAsiaTheme="minorEastAsia"/>
          <w:bCs/>
        </w:rPr>
        <w:tab/>
      </w:r>
      <w:r>
        <w:rPr>
          <w:rFonts w:eastAsiaTheme="minorEastAsia"/>
          <w:bCs/>
        </w:rPr>
        <w:tab/>
      </w:r>
      <w:r>
        <w:rPr>
          <w:rFonts w:eastAsiaTheme="minorEastAsia"/>
          <w:bCs/>
        </w:rPr>
        <w:tab/>
        <w:t>(S3-7)</w:t>
      </w:r>
    </w:p>
    <w:p w14:paraId="3B55FC7C" w14:textId="77777777" w:rsidR="0032151C" w:rsidRDefault="0032151C" w:rsidP="0032151C">
      <w:pPr>
        <w:rPr>
          <w:rFonts w:eastAsiaTheme="minorEastAsia"/>
          <w:bCs/>
        </w:rPr>
      </w:pPr>
    </w:p>
    <w:p w14:paraId="065F30C0" w14:textId="77777777" w:rsidR="0032151C" w:rsidRDefault="0032151C" w:rsidP="0032151C">
      <w:pPr>
        <w:rPr>
          <w:rFonts w:eastAsiaTheme="minorEastAsia"/>
          <w:bCs/>
        </w:rPr>
      </w:pPr>
      <w:r>
        <w:rPr>
          <w:rFonts w:eastAsiaTheme="minorEastAsia"/>
          <w:bCs/>
        </w:rPr>
        <w:t xml:space="preserve">substituting </w:t>
      </w:r>
      <m:oMath>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aet</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PSA</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lpet</m:t>
            </m:r>
          </m:sub>
        </m:sSub>
      </m:oMath>
      <w:r>
        <w:rPr>
          <w:rFonts w:eastAsiaTheme="minorEastAsia"/>
          <w:bCs/>
        </w:rPr>
        <w:t xml:space="preserve"> yields:</w:t>
      </w:r>
    </w:p>
    <w:p w14:paraId="79F6EBC5" w14:textId="77777777" w:rsidR="00D83184" w:rsidRDefault="00D83184" w:rsidP="0032151C">
      <w:pPr>
        <w:rPr>
          <w:rFonts w:eastAsiaTheme="minorEastAsia"/>
          <w:bCs/>
        </w:rPr>
      </w:pPr>
    </w:p>
    <w:p w14:paraId="0CDDE7BB" w14:textId="77777777" w:rsidR="0032151C" w:rsidRDefault="0032151C" w:rsidP="0032151C">
      <w:pPr>
        <w:rPr>
          <w:rFonts w:eastAsiaTheme="minorEastAsia"/>
          <w:bCs/>
        </w:rPr>
      </w:pPr>
      <m:oMath>
        <m:sSub>
          <m:sSubPr>
            <m:ctrlPr>
              <w:rPr>
                <w:rFonts w:ascii="Cambria Math" w:hAnsi="Cambria Math"/>
                <w:bCs/>
                <w:i/>
              </w:rPr>
            </m:ctrlPr>
          </m:sSubPr>
          <m:e>
            <m:sSub>
              <m:sSubPr>
                <m:ctrlPr>
                  <w:rPr>
                    <w:rFonts w:ascii="Cambria Math" w:eastAsiaTheme="minorEastAsia" w:hAnsi="Cambria Math"/>
                    <w:bCs/>
                    <w:i/>
                  </w:rPr>
                </m:ctrlPr>
              </m:sSubPr>
              <m:e>
                <m:sSub>
                  <m:sSubPr>
                    <m:ctrlPr>
                      <w:rPr>
                        <w:rFonts w:ascii="Cambria Math" w:hAnsi="Cambria Math"/>
                        <w:i/>
                      </w:rPr>
                    </m:ctrlPr>
                  </m:sSubPr>
                  <m:e>
                    <m:r>
                      <w:rPr>
                        <w:rFonts w:ascii="Cambria Math" w:hAnsi="Cambria Math"/>
                      </w:rPr>
                      <m:t>a</m:t>
                    </m:r>
                  </m:e>
                  <m:sub>
                    <m:r>
                      <w:rPr>
                        <w:rFonts w:ascii="Cambria Math" w:hAnsi="Cambria Math"/>
                      </w:rPr>
                      <m:t>PSA</m:t>
                    </m:r>
                  </m:sub>
                </m:sSub>
                <m:r>
                  <w:rPr>
                    <w:rFonts w:ascii="Cambria Math" w:eastAsiaTheme="minorEastAsia" w:hAnsi="Cambria Math"/>
                  </w:rPr>
                  <m:t>ϕ</m:t>
                </m:r>
              </m:e>
              <m:sub>
                <m:r>
                  <w:rPr>
                    <w:rFonts w:ascii="Cambria Math" w:eastAsiaTheme="minorEastAsia" w:hAnsi="Cambria Math"/>
                  </w:rPr>
                  <m:t>PSA</m:t>
                </m:r>
              </m:sub>
            </m:sSub>
            <m:r>
              <w:rPr>
                <w:rFonts w:ascii="Cambria Math" w:hAnsi="Cambria Math"/>
              </w:rPr>
              <m:t>A</m:t>
            </m:r>
          </m:e>
          <m:sub>
            <m:r>
              <w:rPr>
                <w:rFonts w:ascii="Cambria Math" w:hAnsi="Cambria Math"/>
              </w:rPr>
              <m:t>aet</m:t>
            </m:r>
          </m:sub>
        </m:sSub>
        <m:r>
          <w:rPr>
            <w:rFonts w:ascii="Cambria Math" w:hAnsi="Cambria Math"/>
          </w:rPr>
          <m:t>=</m:t>
        </m:r>
        <m:sSub>
          <m:sSubPr>
            <m:ctrlPr>
              <w:rPr>
                <w:rFonts w:ascii="Cambria Math" w:hAnsi="Cambria Math"/>
                <w:bCs/>
                <w:i/>
              </w:rPr>
            </m:ctrlPr>
          </m:sSubPr>
          <m:e>
            <m:sSub>
              <m:sSubPr>
                <m:ctrlPr>
                  <w:rPr>
                    <w:rFonts w:ascii="Cambria Math" w:eastAsiaTheme="minorEastAsia" w:hAnsi="Cambria Math"/>
                    <w:bCs/>
                    <w:i/>
                  </w:rPr>
                </m:ctrlPr>
              </m:sSubPr>
              <m:e>
                <m:sSub>
                  <m:sSubPr>
                    <m:ctrlPr>
                      <w:rPr>
                        <w:rFonts w:ascii="Cambria Math" w:hAnsi="Cambria Math"/>
                        <w:i/>
                      </w:rPr>
                    </m:ctrlPr>
                  </m:sSubPr>
                  <m:e>
                    <m:r>
                      <w:rPr>
                        <w:rFonts w:ascii="Cambria Math" w:hAnsi="Cambria Math"/>
                      </w:rPr>
                      <m:t>a</m:t>
                    </m:r>
                  </m:e>
                  <m:sub>
                    <m:r>
                      <w:rPr>
                        <w:rFonts w:ascii="Cambria Math" w:hAnsi="Cambria Math"/>
                      </w:rPr>
                      <m:t>syn</m:t>
                    </m:r>
                  </m:sub>
                </m:sSub>
                <m:r>
                  <w:rPr>
                    <w:rFonts w:ascii="Cambria Math" w:eastAsiaTheme="minorEastAsia" w:hAnsi="Cambria Math"/>
                  </w:rPr>
                  <m:t>ϕ</m:t>
                </m:r>
              </m:e>
              <m:sub>
                <m:r>
                  <w:rPr>
                    <w:rFonts w:ascii="Cambria Math" w:eastAsiaTheme="minorEastAsia" w:hAnsi="Cambria Math"/>
                  </w:rPr>
                  <m:t>RIB</m:t>
                </m:r>
              </m:sub>
            </m:sSub>
            <m:r>
              <w:rPr>
                <w:rFonts w:ascii="Cambria Math" w:hAnsi="Cambria Math"/>
              </w:rPr>
              <m:t>A</m:t>
            </m:r>
          </m:e>
          <m:sub>
            <m:r>
              <w:rPr>
                <w:rFonts w:ascii="Cambria Math" w:hAnsi="Cambria Math"/>
              </w:rPr>
              <m:t>aet</m:t>
            </m:r>
          </m:sub>
        </m:sSub>
        <m:sSub>
          <m:sSubPr>
            <m:ctrlPr>
              <w:rPr>
                <w:rFonts w:ascii="Cambria Math" w:hAnsi="Cambria Math"/>
                <w:bCs/>
                <w:i/>
              </w:rPr>
            </m:ctrlPr>
          </m:sSubPr>
          <m:e>
            <m:sSub>
              <m:sSubPr>
                <m:ctrlPr>
                  <w:rPr>
                    <w:rFonts w:ascii="Cambria Math" w:eastAsiaTheme="minorEastAsia" w:hAnsi="Cambria Math"/>
                    <w:bCs/>
                    <w:i/>
                  </w:rPr>
                </m:ctrlPr>
              </m:sSubPr>
              <m:e>
                <m:sSub>
                  <m:sSubPr>
                    <m:ctrlPr>
                      <w:rPr>
                        <w:rFonts w:ascii="Cambria Math" w:hAnsi="Cambria Math"/>
                        <w:i/>
                      </w:rPr>
                    </m:ctrlPr>
                  </m:sSubPr>
                  <m:e>
                    <m:r>
                      <w:rPr>
                        <w:rFonts w:ascii="Cambria Math" w:hAnsi="Cambria Math"/>
                      </w:rPr>
                      <m:t>-a</m:t>
                    </m:r>
                  </m:e>
                  <m:sub>
                    <m:r>
                      <w:rPr>
                        <w:rFonts w:ascii="Cambria Math" w:hAnsi="Cambria Math"/>
                      </w:rPr>
                      <m:t>syn</m:t>
                    </m:r>
                  </m:sub>
                </m:sSub>
                <m:r>
                  <w:rPr>
                    <w:rFonts w:ascii="Cambria Math" w:eastAsiaTheme="minorEastAsia" w:hAnsi="Cambria Math"/>
                  </w:rPr>
                  <m:t>ϕ</m:t>
                </m:r>
              </m:e>
              <m:sub>
                <m:r>
                  <w:rPr>
                    <w:rFonts w:ascii="Cambria Math" w:eastAsiaTheme="minorEastAsia" w:hAnsi="Cambria Math"/>
                  </w:rPr>
                  <m:t>RIB</m:t>
                </m:r>
              </m:sub>
            </m:sSub>
            <m:r>
              <w:rPr>
                <w:rFonts w:ascii="Cambria Math" w:hAnsi="Cambria Math"/>
              </w:rPr>
              <m:t>A</m:t>
            </m:r>
          </m:e>
          <m:sub>
            <m:r>
              <w:rPr>
                <w:rFonts w:ascii="Cambria Math" w:hAnsi="Cambria Math"/>
              </w:rPr>
              <m:t>cal</m:t>
            </m:r>
          </m:sub>
        </m:sSub>
        <m:sSub>
          <m:sSubPr>
            <m:ctrlPr>
              <w:rPr>
                <w:rFonts w:ascii="Cambria Math" w:eastAsiaTheme="minorEastAsia" w:hAnsi="Cambria Math"/>
                <w:bCs/>
                <w:i/>
              </w:rPr>
            </m:ctrlPr>
          </m:sSubPr>
          <m:e>
            <m:sSub>
              <m:sSubPr>
                <m:ctrlPr>
                  <w:rPr>
                    <w:rFonts w:ascii="Cambria Math" w:hAnsi="Cambria Math"/>
                    <w:i/>
                  </w:rPr>
                </m:ctrlPr>
              </m:sSubPr>
              <m:e>
                <m:r>
                  <w:rPr>
                    <w:rFonts w:ascii="Cambria Math" w:hAnsi="Cambria Math"/>
                  </w:rPr>
                  <m:t>-a</m:t>
                </m:r>
              </m:e>
              <m:sub>
                <m:r>
                  <w:rPr>
                    <w:rFonts w:ascii="Cambria Math" w:hAnsi="Cambria Math"/>
                  </w:rPr>
                  <m:t>syn</m:t>
                </m:r>
              </m:sub>
            </m:sSub>
            <m:r>
              <w:rPr>
                <w:rFonts w:ascii="Cambria Math" w:eastAsiaTheme="minorEastAsia" w:hAnsi="Cambria Math"/>
              </w:rPr>
              <m:t>ϕ</m:t>
            </m:r>
          </m:e>
          <m:sub>
            <m:r>
              <w:rPr>
                <w:rFonts w:ascii="Cambria Math" w:eastAsiaTheme="minorEastAsia" w:hAnsi="Cambria Math"/>
              </w:rPr>
              <m:t>RIB</m:t>
            </m:r>
          </m:sub>
        </m:sSub>
        <m:sSub>
          <m:sSubPr>
            <m:ctrlPr>
              <w:rPr>
                <w:rFonts w:ascii="Cambria Math" w:hAnsi="Cambria Math"/>
                <w:bCs/>
                <w:i/>
              </w:rPr>
            </m:ctrlPr>
          </m:sSubPr>
          <m:e>
            <m:r>
              <w:rPr>
                <w:rFonts w:ascii="Cambria Math" w:hAnsi="Cambria Math"/>
              </w:rPr>
              <m:t>A</m:t>
            </m:r>
          </m:e>
          <m:sub>
            <m:r>
              <w:rPr>
                <w:rFonts w:ascii="Cambria Math" w:hAnsi="Cambria Math"/>
              </w:rPr>
              <m:t>lpet</m:t>
            </m:r>
          </m:sub>
        </m:sSub>
      </m:oMath>
      <w:r>
        <w:rPr>
          <w:rFonts w:eastAsiaTheme="minorEastAsia"/>
          <w:bCs/>
        </w:rPr>
        <w:t xml:space="preserve"> </w:t>
      </w:r>
      <w:r>
        <w:rPr>
          <w:rFonts w:eastAsiaTheme="minorEastAsia"/>
          <w:bCs/>
        </w:rPr>
        <w:tab/>
      </w:r>
      <w:r>
        <w:rPr>
          <w:rFonts w:eastAsiaTheme="minorEastAsia"/>
          <w:bCs/>
        </w:rPr>
        <w:tab/>
      </w:r>
      <w:r>
        <w:rPr>
          <w:rFonts w:eastAsiaTheme="minorEastAsia"/>
          <w:bCs/>
        </w:rPr>
        <w:tab/>
        <w:t>(S3-8)</w:t>
      </w:r>
    </w:p>
    <w:p w14:paraId="6CC3E9CD" w14:textId="77777777" w:rsidR="0032151C" w:rsidRDefault="0032151C" w:rsidP="0032151C">
      <w:pPr>
        <w:rPr>
          <w:rFonts w:eastAsiaTheme="minorEastAsia"/>
          <w:bCs/>
        </w:rPr>
      </w:pPr>
    </w:p>
    <w:p w14:paraId="380FAA54" w14:textId="6F448195" w:rsidR="0032151C" w:rsidRDefault="0032151C" w:rsidP="0032151C">
      <w:pPr>
        <w:rPr>
          <w:rFonts w:eastAsiaTheme="minorEastAsia"/>
          <w:bCs/>
        </w:rPr>
      </w:pPr>
      <m:oMath>
        <m:f>
          <m:fPr>
            <m:type m:val="lin"/>
            <m:ctrlPr>
              <w:rPr>
                <w:rFonts w:ascii="Cambria Math" w:eastAsiaTheme="minorEastAsia" w:hAnsi="Cambria Math"/>
                <w:bCs/>
                <w:i/>
              </w:rPr>
            </m:ctrlPr>
          </m:fPr>
          <m:num>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PSA</m:t>
                </m:r>
              </m:sub>
            </m:sSub>
          </m:num>
          <m:den>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den>
        </m:f>
        <m:r>
          <w:rPr>
            <w:rFonts w:ascii="Cambria Math" w:hAnsi="Cambria Math"/>
          </w:rPr>
          <m:t>=</m:t>
        </m:r>
        <m:f>
          <m:fPr>
            <m:ctrlPr>
              <w:rPr>
                <w:rFonts w:ascii="Cambria Math" w:eastAsiaTheme="minorEastAsia" w:hAnsi="Cambria Math"/>
                <w:bCs/>
                <w:i/>
              </w:rPr>
            </m:ctrlPr>
          </m:fPr>
          <m:num>
            <m:sSub>
              <m:sSubPr>
                <m:ctrlPr>
                  <w:rPr>
                    <w:rFonts w:ascii="Cambria Math" w:hAnsi="Cambria Math"/>
                    <w:i/>
                  </w:rPr>
                </m:ctrlPr>
              </m:sSubPr>
              <m:e>
                <m:r>
                  <w:rPr>
                    <w:rFonts w:ascii="Cambria Math" w:hAnsi="Cambria Math"/>
                  </w:rPr>
                  <m:t>a</m:t>
                </m:r>
              </m:e>
              <m:sub>
                <m:r>
                  <w:rPr>
                    <w:rFonts w:ascii="Cambria Math" w:hAnsi="Cambria Math"/>
                  </w:rPr>
                  <m:t>syn</m:t>
                </m:r>
              </m:sub>
            </m:sSub>
          </m:num>
          <m:den>
            <m:sSub>
              <m:sSubPr>
                <m:ctrlPr>
                  <w:rPr>
                    <w:rFonts w:ascii="Cambria Math" w:hAnsi="Cambria Math"/>
                    <w:i/>
                  </w:rPr>
                </m:ctrlPr>
              </m:sSubPr>
              <m:e>
                <m:r>
                  <w:rPr>
                    <w:rFonts w:ascii="Cambria Math" w:hAnsi="Cambria Math"/>
                  </w:rPr>
                  <m:t>a</m:t>
                </m:r>
              </m:e>
              <m:sub>
                <m:r>
                  <w:rPr>
                    <w:rFonts w:ascii="Cambria Math" w:hAnsi="Cambria Math"/>
                  </w:rPr>
                  <m:t>PSA</m:t>
                </m:r>
              </m:sub>
            </m:sSub>
          </m:den>
        </m:f>
        <m:d>
          <m:dPr>
            <m:ctrlPr>
              <w:rPr>
                <w:rFonts w:ascii="Cambria Math" w:eastAsiaTheme="minorEastAsia" w:hAnsi="Cambria Math"/>
                <w:bCs/>
                <w:i/>
              </w:rPr>
            </m:ctrlPr>
          </m:dPr>
          <m:e>
            <m:r>
              <w:rPr>
                <w:rFonts w:ascii="Cambria Math" w:eastAsiaTheme="minorEastAsia" w:hAnsi="Cambria Math"/>
              </w:rPr>
              <m:t>1+</m:t>
            </m:r>
            <m:f>
              <m:fPr>
                <m:ctrlPr>
                  <w:rPr>
                    <w:rFonts w:ascii="Cambria Math" w:eastAsiaTheme="minorEastAsia" w:hAnsi="Cambria Math"/>
                    <w:bCs/>
                    <w:i/>
                  </w:rPr>
                </m:ctrlPr>
              </m:fPr>
              <m:num>
                <m:d>
                  <m:dPr>
                    <m:ctrlPr>
                      <w:rPr>
                        <w:rFonts w:ascii="Cambria Math" w:eastAsiaTheme="minorEastAsia" w:hAnsi="Cambria Math"/>
                        <w:bCs/>
                        <w:i/>
                      </w:rPr>
                    </m:ctrlPr>
                  </m:dPr>
                  <m:e>
                    <m:sSub>
                      <m:sSubPr>
                        <m:ctrlPr>
                          <w:rPr>
                            <w:rFonts w:ascii="Cambria Math" w:hAnsi="Cambria Math"/>
                            <w:bCs/>
                            <w:i/>
                          </w:rPr>
                        </m:ctrlPr>
                      </m:sSubPr>
                      <m:e>
                        <m:r>
                          <w:rPr>
                            <w:rFonts w:ascii="Cambria Math" w:hAnsi="Cambria Math"/>
                          </w:rPr>
                          <m:t>A</m:t>
                        </m:r>
                      </m:e>
                      <m:sub>
                        <m:r>
                          <w:rPr>
                            <w:rFonts w:ascii="Cambria Math" w:hAnsi="Cambria Math"/>
                          </w:rPr>
                          <m:t>cal</m:t>
                        </m:r>
                      </m:sub>
                    </m:sSub>
                    <m:r>
                      <w:rPr>
                        <w:rFonts w:ascii="Cambria Math" w:hAnsi="Cambria Math"/>
                      </w:rPr>
                      <m:t>-</m:t>
                    </m:r>
                    <m:sSub>
                      <m:sSubPr>
                        <m:ctrlPr>
                          <w:rPr>
                            <w:rFonts w:ascii="Cambria Math" w:hAnsi="Cambria Math"/>
                            <w:bCs/>
                            <w:i/>
                          </w:rPr>
                        </m:ctrlPr>
                      </m:sSubPr>
                      <m:e>
                        <m:r>
                          <w:rPr>
                            <w:rFonts w:ascii="Cambria Math" w:hAnsi="Cambria Math"/>
                          </w:rPr>
                          <m:t>A</m:t>
                        </m:r>
                      </m:e>
                      <m:sub>
                        <m:r>
                          <w:rPr>
                            <w:rFonts w:ascii="Cambria Math" w:hAnsi="Cambria Math"/>
                          </w:rPr>
                          <m:t>lpet</m:t>
                        </m:r>
                      </m:sub>
                    </m:sSub>
                  </m:e>
                </m:d>
              </m:num>
              <m:den>
                <m:sSub>
                  <m:sSubPr>
                    <m:ctrlPr>
                      <w:rPr>
                        <w:rFonts w:ascii="Cambria Math" w:hAnsi="Cambria Math"/>
                        <w:bCs/>
                        <w:i/>
                      </w:rPr>
                    </m:ctrlPr>
                  </m:sSubPr>
                  <m:e>
                    <m:r>
                      <w:rPr>
                        <w:rFonts w:ascii="Cambria Math" w:hAnsi="Cambria Math"/>
                      </w:rPr>
                      <m:t>A</m:t>
                    </m:r>
                  </m:e>
                  <m:sub>
                    <m:r>
                      <w:rPr>
                        <w:rFonts w:ascii="Cambria Math" w:hAnsi="Cambria Math"/>
                      </w:rPr>
                      <m:t>aet</m:t>
                    </m:r>
                  </m:sub>
                </m:sSub>
              </m:den>
            </m:f>
          </m:e>
        </m:d>
      </m:oMath>
      <w:r>
        <w:rPr>
          <w:rFonts w:eastAsiaTheme="minorEastAsia"/>
          <w:bCs/>
        </w:rPr>
        <w:t xml:space="preserve"> </w:t>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t>(S3-9)</w:t>
      </w:r>
    </w:p>
    <w:p w14:paraId="32ED45A0" w14:textId="77777777" w:rsidR="0032151C" w:rsidRDefault="0032151C" w:rsidP="0032151C">
      <w:pPr>
        <w:rPr>
          <w:rFonts w:eastAsiaTheme="minorEastAsia"/>
          <w:bCs/>
        </w:rPr>
      </w:pPr>
    </w:p>
    <w:p w14:paraId="4C063799" w14:textId="77777777" w:rsidR="0032151C" w:rsidRDefault="0032151C" w:rsidP="0032151C">
      <w:pPr>
        <w:rPr>
          <w:rFonts w:eastAsiaTheme="minorEastAsia"/>
          <w:bCs/>
        </w:rPr>
      </w:pPr>
      <w:r>
        <w:rPr>
          <w:rFonts w:eastAsiaTheme="minorEastAsia"/>
          <w:bCs/>
        </w:rPr>
        <w:t xml:space="preserve">The solution for </w:t>
      </w:r>
      <m:oMath>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oMath>
      <w:r>
        <w:rPr>
          <w:rFonts w:eastAsiaTheme="minorEastAsia"/>
          <w:bCs/>
        </w:rPr>
        <w:t xml:space="preserve"> is therefore</w:t>
      </w:r>
    </w:p>
    <w:p w14:paraId="258FD5AE" w14:textId="77777777" w:rsidR="0032151C" w:rsidRDefault="0032151C" w:rsidP="0032151C">
      <w:pPr>
        <w:rPr>
          <w:rFonts w:eastAsiaTheme="minorEastAsia"/>
          <w:bCs/>
        </w:rPr>
      </w:pPr>
      <m:oMath>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b±</m:t>
            </m:r>
            <m:rad>
              <m:radPr>
                <m:degHide m:val="1"/>
                <m:ctrlPr>
                  <w:rPr>
                    <w:rFonts w:ascii="Cambria Math" w:eastAsiaTheme="minorEastAsia" w:hAnsi="Cambria Math"/>
                    <w:bCs/>
                    <w:i/>
                  </w:rPr>
                </m:ctrlPr>
              </m:radPr>
              <m:deg/>
              <m:e>
                <m:sSup>
                  <m:sSupPr>
                    <m:ctrlPr>
                      <w:rPr>
                        <w:rFonts w:ascii="Cambria Math" w:eastAsiaTheme="minorEastAsia" w:hAnsi="Cambria Math"/>
                        <w:bCs/>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-4ac</m:t>
                </m:r>
              </m:e>
            </m:rad>
          </m:num>
          <m:den>
            <m:r>
              <w:rPr>
                <w:rFonts w:ascii="Cambria Math" w:eastAsiaTheme="minorEastAsia" w:hAnsi="Cambria Math"/>
              </w:rPr>
              <m:t>2a</m:t>
            </m:r>
          </m:den>
        </m:f>
      </m:oMath>
      <w:r>
        <w:rPr>
          <w:rFonts w:eastAsiaTheme="minorEastAsia"/>
          <w:bCs/>
        </w:rPr>
        <w:t xml:space="preserve"> </w:t>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t>(S3-10)</w:t>
      </w:r>
    </w:p>
    <w:p w14:paraId="5394D12F" w14:textId="77777777" w:rsidR="0032151C" w:rsidRDefault="0032151C" w:rsidP="0032151C">
      <w:pPr>
        <w:rPr>
          <w:rFonts w:eastAsiaTheme="minorEastAsia"/>
          <w:bCs/>
        </w:rPr>
      </w:pPr>
    </w:p>
    <w:p w14:paraId="1A0539AC" w14:textId="10BFDF87" w:rsidR="0032151C" w:rsidRDefault="0032151C" w:rsidP="0032151C">
      <w:pPr>
        <w:rPr>
          <w:rFonts w:eastAsiaTheme="minorEastAsia"/>
          <w:bCs/>
        </w:rPr>
      </w:pPr>
      <w:r>
        <w:rPr>
          <w:rFonts w:eastAsiaTheme="minorEastAsia"/>
          <w:bCs/>
        </w:rPr>
        <w:t>where</w:t>
      </w:r>
      <w:r w:rsidR="00D83184">
        <w:rPr>
          <w:rFonts w:eastAsiaTheme="minorEastAsia"/>
          <w:bCs/>
        </w:rPr>
        <w:t>:</w:t>
      </w:r>
    </w:p>
    <w:p w14:paraId="55823D92" w14:textId="77777777" w:rsidR="0032151C" w:rsidRPr="00FF2216" w:rsidRDefault="0032151C" w:rsidP="0032151C">
      <w:pPr>
        <w:rPr>
          <w:rFonts w:eastAsiaTheme="minorEastAsia"/>
          <w:bCs/>
        </w:rPr>
      </w:pP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syn</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tot</m:t>
                </m:r>
              </m:sub>
            </m:sSub>
          </m:e>
        </m:d>
        <m:d>
          <m:dPr>
            <m:ctrlPr>
              <w:rPr>
                <w:rFonts w:ascii="Cambria Math" w:eastAsiaTheme="minorEastAsia" w:hAnsi="Cambria Math"/>
                <w:bCs/>
                <w:i/>
              </w:rPr>
            </m:ctrlPr>
          </m:dPr>
          <m:e>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RIB</m:t>
                </m:r>
              </m:sub>
              <m:sup>
                <m:r>
                  <w:rPr>
                    <w:rFonts w:ascii="Cambria Math" w:eastAsiaTheme="minorEastAsia" w:hAnsi="Cambria Math"/>
                  </w:rPr>
                  <m:t>S</m:t>
                </m:r>
              </m:sup>
            </m:sSubSup>
            <m:r>
              <w:rPr>
                <w:rFonts w:ascii="Cambria Math" w:eastAsiaTheme="minorEastAsia" w:hAnsi="Cambria Math"/>
              </w:rPr>
              <m:t>+</m:t>
            </m:r>
            <m:d>
              <m:dPr>
                <m:ctrlPr>
                  <w:rPr>
                    <w:rFonts w:ascii="Cambria Math" w:eastAsiaTheme="minorEastAsia" w:hAnsi="Cambria Math"/>
                    <w:bCs/>
                    <w:i/>
                  </w:rPr>
                </m:ctrlPr>
              </m:dPr>
              <m:e>
                <m:f>
                  <m:fPr>
                    <m:ctrlPr>
                      <w:rPr>
                        <w:rFonts w:ascii="Cambria Math" w:eastAsiaTheme="minorEastAsia" w:hAnsi="Cambria Math"/>
                        <w:bCs/>
                        <w:i/>
                      </w:rPr>
                    </m:ctrlPr>
                  </m:fPr>
                  <m:num>
                    <m:sSub>
                      <m:sSubPr>
                        <m:ctrlPr>
                          <w:rPr>
                            <w:rFonts w:ascii="Cambria Math" w:hAnsi="Cambria Math"/>
                            <w:i/>
                          </w:rPr>
                        </m:ctrlPr>
                      </m:sSubPr>
                      <m:e>
                        <m:r>
                          <w:rPr>
                            <w:rFonts w:ascii="Cambria Math" w:hAnsi="Cambria Math"/>
                          </w:rPr>
                          <m:t>a</m:t>
                        </m:r>
                      </m:e>
                      <m:sub>
                        <m:r>
                          <w:rPr>
                            <w:rFonts w:ascii="Cambria Math" w:hAnsi="Cambria Math"/>
                          </w:rPr>
                          <m:t>syn</m:t>
                        </m:r>
                      </m:sub>
                    </m:sSub>
                  </m:num>
                  <m:den>
                    <m:sSub>
                      <m:sSubPr>
                        <m:ctrlPr>
                          <w:rPr>
                            <w:rFonts w:ascii="Cambria Math" w:hAnsi="Cambria Math"/>
                            <w:i/>
                          </w:rPr>
                        </m:ctrlPr>
                      </m:sSubPr>
                      <m:e>
                        <m:r>
                          <w:rPr>
                            <w:rFonts w:ascii="Cambria Math" w:hAnsi="Cambria Math"/>
                          </w:rPr>
                          <m:t>a</m:t>
                        </m:r>
                      </m:e>
                      <m:sub>
                        <m:r>
                          <w:rPr>
                            <w:rFonts w:ascii="Cambria Math" w:hAnsi="Cambria Math"/>
                          </w:rPr>
                          <m:t>PSA</m:t>
                        </m:r>
                      </m:sub>
                    </m:sSub>
                  </m:den>
                </m:f>
                <m:d>
                  <m:dPr>
                    <m:ctrlPr>
                      <w:rPr>
                        <w:rFonts w:ascii="Cambria Math" w:eastAsiaTheme="minorEastAsia" w:hAnsi="Cambria Math"/>
                        <w:bCs/>
                        <w:i/>
                      </w:rPr>
                    </m:ctrlPr>
                  </m:dPr>
                  <m:e>
                    <m:r>
                      <w:rPr>
                        <w:rFonts w:ascii="Cambria Math" w:eastAsiaTheme="minorEastAsia" w:hAnsi="Cambria Math"/>
                      </w:rPr>
                      <m:t>1+</m:t>
                    </m:r>
                    <m:f>
                      <m:fPr>
                        <m:ctrlPr>
                          <w:rPr>
                            <w:rFonts w:ascii="Cambria Math" w:eastAsiaTheme="minorEastAsia" w:hAnsi="Cambria Math"/>
                            <w:bCs/>
                            <w:i/>
                          </w:rPr>
                        </m:ctrlPr>
                      </m:fPr>
                      <m:num>
                        <m:sSub>
                          <m:sSubPr>
                            <m:ctrlPr>
                              <w:rPr>
                                <w:rFonts w:ascii="Cambria Math" w:hAnsi="Cambria Math"/>
                                <w:bCs/>
                                <w:i/>
                              </w:rPr>
                            </m:ctrlPr>
                          </m:sSubPr>
                          <m:e>
                            <m:r>
                              <w:rPr>
                                <w:rFonts w:ascii="Cambria Math" w:hAnsi="Cambria Math"/>
                              </w:rPr>
                              <m:t>A</m:t>
                            </m:r>
                          </m:e>
                          <m:sub>
                            <m:r>
                              <w:rPr>
                                <w:rFonts w:ascii="Cambria Math" w:hAnsi="Cambria Math"/>
                              </w:rPr>
                              <m:t>cal</m:t>
                            </m:r>
                          </m:sub>
                        </m:sSub>
                        <m:r>
                          <w:rPr>
                            <w:rFonts w:ascii="Cambria Math" w:hAnsi="Cambria Math"/>
                          </w:rPr>
                          <m:t>+</m:t>
                        </m:r>
                        <m:sSub>
                          <m:sSubPr>
                            <m:ctrlPr>
                              <w:rPr>
                                <w:rFonts w:ascii="Cambria Math" w:hAnsi="Cambria Math"/>
                                <w:bCs/>
                                <w:i/>
                              </w:rPr>
                            </m:ctrlPr>
                          </m:sSubPr>
                          <m:e>
                            <m:r>
                              <w:rPr>
                                <w:rFonts w:ascii="Cambria Math" w:hAnsi="Cambria Math"/>
                              </w:rPr>
                              <m:t>A</m:t>
                            </m:r>
                          </m:e>
                          <m:sub>
                            <m:r>
                              <w:rPr>
                                <w:rFonts w:ascii="Cambria Math" w:hAnsi="Cambria Math"/>
                              </w:rPr>
                              <m:t>lpet</m:t>
                            </m:r>
                          </m:sub>
                        </m:sSub>
                      </m:num>
                      <m:den>
                        <m:sSub>
                          <m:sSubPr>
                            <m:ctrlPr>
                              <w:rPr>
                                <w:rFonts w:ascii="Cambria Math" w:hAnsi="Cambria Math"/>
                                <w:bCs/>
                                <w:i/>
                              </w:rPr>
                            </m:ctrlPr>
                          </m:sSubPr>
                          <m:e>
                            <m:r>
                              <w:rPr>
                                <w:rFonts w:ascii="Cambria Math" w:hAnsi="Cambria Math"/>
                              </w:rPr>
                              <m:t>A</m:t>
                            </m:r>
                          </m:e>
                          <m:sub>
                            <m:r>
                              <w:rPr>
                                <w:rFonts w:ascii="Cambria Math" w:hAnsi="Cambria Math"/>
                              </w:rPr>
                              <m:t>aet</m:t>
                            </m:r>
                          </m:sub>
                        </m:sSub>
                      </m:den>
                    </m:f>
                  </m:e>
                </m:d>
              </m:e>
            </m:d>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PSA</m:t>
                </m:r>
              </m:sub>
              <m:sup>
                <m:r>
                  <w:rPr>
                    <w:rFonts w:ascii="Cambria Math" w:eastAsiaTheme="minorEastAsia" w:hAnsi="Cambria Math"/>
                  </w:rPr>
                  <m:t>S</m:t>
                </m:r>
              </m:sup>
            </m:sSubSup>
          </m:e>
        </m:d>
      </m:oMath>
      <w:r>
        <w:rPr>
          <w:rFonts w:eastAsiaTheme="minorEastAsia"/>
          <w:bCs/>
        </w:rPr>
        <w:t xml:space="preserve"> </w:t>
      </w:r>
      <w:r>
        <w:rPr>
          <w:rFonts w:eastAsiaTheme="minorEastAsia"/>
          <w:bCs/>
        </w:rPr>
        <w:tab/>
      </w:r>
      <w:r>
        <w:rPr>
          <w:rFonts w:eastAsiaTheme="minorEastAsia"/>
          <w:bCs/>
        </w:rPr>
        <w:tab/>
      </w:r>
      <w:r>
        <w:rPr>
          <w:rFonts w:eastAsiaTheme="minorEastAsia"/>
          <w:bCs/>
        </w:rPr>
        <w:tab/>
      </w:r>
      <w:r>
        <w:rPr>
          <w:rFonts w:eastAsiaTheme="minorEastAsia"/>
          <w:bCs/>
        </w:rPr>
        <w:tab/>
        <w:t>(S3-11)</w:t>
      </w:r>
    </w:p>
    <w:p w14:paraId="0F29CB8C" w14:textId="51727AAC" w:rsidR="0032151C" w:rsidRDefault="0032151C" w:rsidP="0032151C">
      <w:pPr>
        <w:rPr>
          <w:rFonts w:eastAsiaTheme="minorEastAsia"/>
          <w:bCs/>
        </w:rPr>
      </w:pPr>
      <m:oMath>
        <m:sSub>
          <m:sSubPr>
            <m:ctrlPr>
              <w:rPr>
                <w:rFonts w:ascii="Cambria Math" w:hAnsi="Cambria Math"/>
                <w:i/>
              </w:rPr>
            </m:ctrlPr>
          </m:sSubPr>
          <m:e>
            <m:r>
              <w:rPr>
                <w:rFonts w:ascii="Cambria Math" w:hAnsi="Cambria Math"/>
              </w:rPr>
              <m:t>b=a</m:t>
            </m:r>
          </m:e>
          <m:sub>
            <m:r>
              <w:rPr>
                <w:rFonts w:ascii="Cambria Math" w:hAnsi="Cambria Math"/>
              </w:rPr>
              <m:t>syn</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tot</m:t>
                </m:r>
              </m:sub>
            </m:sSub>
          </m:e>
        </m:d>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STR</m:t>
            </m:r>
          </m:sub>
        </m:sSub>
        <m:sSubSup>
          <m:sSubSupPr>
            <m:ctrlPr>
              <w:rPr>
                <w:rFonts w:ascii="Cambria Math" w:eastAsiaTheme="minorEastAsia" w:hAnsi="Cambria Math"/>
                <w:bCs/>
                <w:i/>
              </w:rPr>
            </m:ctrlPr>
          </m:sSubSupPr>
          <m:e>
            <m:r>
              <w:rPr>
                <w:rFonts w:ascii="Cambria Math" w:eastAsiaTheme="minorEastAsia" w:hAnsi="Cambria Math"/>
              </w:rPr>
              <m:t>r</m:t>
            </m:r>
          </m:e>
          <m:sub>
            <m:r>
              <w:rPr>
                <w:rFonts w:ascii="Cambria Math" w:eastAsiaTheme="minorEastAsia" w:hAnsi="Cambria Math"/>
              </w:rPr>
              <m:t>STR</m:t>
            </m:r>
          </m:sub>
          <m:sup>
            <m:r>
              <w:rPr>
                <w:rFonts w:ascii="Cambria Math" w:eastAsiaTheme="minorEastAsia" w:hAnsi="Cambria Math"/>
              </w:rPr>
              <m:t>S</m:t>
            </m:r>
          </m:sup>
        </m:sSubSup>
      </m:oMath>
      <w:r>
        <w:rPr>
          <w:rFonts w:eastAsiaTheme="minorEastAsia"/>
          <w:bCs/>
        </w:rPr>
        <w:t xml:space="preserve"> </w:t>
      </w:r>
    </w:p>
    <w:p w14:paraId="6CE3B2B3" w14:textId="77777777" w:rsidR="0032151C" w:rsidRPr="00FF2216" w:rsidRDefault="0032151C" w:rsidP="0032151C">
      <w:pPr>
        <w:rPr>
          <w:rFonts w:eastAsiaTheme="minorEastAsia"/>
          <w:bCs/>
        </w:rPr>
      </w:pPr>
      <m:oMath>
        <m:r>
          <w:rPr>
            <w:rFonts w:ascii="Cambria Math" w:eastAsiaTheme="minorEastAsia" w:hAnsi="Cambria Math"/>
          </w:rPr>
          <m:t>c=-</m:t>
        </m:r>
        <m:sSup>
          <m:sSupPr>
            <m:ctrlPr>
              <w:rPr>
                <w:rFonts w:ascii="Cambria Math" w:eastAsiaTheme="minorEastAsia" w:hAnsi="Cambria Math"/>
                <w:bCs/>
                <w:i/>
              </w:rPr>
            </m:ctrlPr>
          </m:sSupPr>
          <m:e>
            <m:r>
              <w:rPr>
                <w:rFonts w:ascii="Cambria Math" w:eastAsiaTheme="minorEastAsia" w:hAnsi="Cambria Math"/>
              </w:rPr>
              <m:t>V</m:t>
            </m:r>
          </m:e>
          <m:sup>
            <m:r>
              <w:rPr>
                <w:rFonts w:ascii="Cambria Math" w:eastAsiaTheme="minorEastAsia" w:hAnsi="Cambria Math"/>
              </w:rPr>
              <m:t>S</m:t>
            </m:r>
          </m:sup>
        </m:sSup>
      </m:oMath>
      <w:r>
        <w:rPr>
          <w:rFonts w:eastAsiaTheme="minorEastAsia"/>
          <w:bCs/>
        </w:rPr>
        <w:t xml:space="preserve"> </w:t>
      </w:r>
    </w:p>
    <w:p w14:paraId="764B6DF1" w14:textId="77777777" w:rsidR="0032151C" w:rsidRDefault="0032151C" w:rsidP="0032151C">
      <w:pPr>
        <w:rPr>
          <w:rFonts w:eastAsiaTheme="minorEastAsia"/>
          <w:bCs/>
        </w:rPr>
      </w:pPr>
      <m:oMath>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PSA</m:t>
            </m:r>
          </m:sub>
        </m:sSub>
      </m:oMath>
      <w:r>
        <w:rPr>
          <w:rFonts w:eastAsiaTheme="minorEastAsia"/>
          <w:bCs/>
        </w:rPr>
        <w:t xml:space="preserve"> can subsequently be solved from (S3-9) and </w:t>
      </w:r>
      <m:oMath>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STO</m:t>
            </m:r>
          </m:sub>
        </m:sSub>
      </m:oMath>
      <w:r>
        <w:rPr>
          <w:rFonts w:eastAsiaTheme="minorEastAsia"/>
          <w:bCs/>
        </w:rPr>
        <w:t xml:space="preserve"> by conservation of mass:</w:t>
      </w:r>
    </w:p>
    <w:p w14:paraId="46C5B81A" w14:textId="77777777" w:rsidR="0032151C" w:rsidRPr="00D26367" w:rsidRDefault="0032151C" w:rsidP="0032151C">
      <w:pPr>
        <w:rPr>
          <w:szCs w:val="24"/>
        </w:rPr>
      </w:pPr>
      <m:oMath>
        <m:sSub>
          <m:sSubPr>
            <m:ctrlPr>
              <w:rPr>
                <w:rFonts w:ascii="Cambria Math" w:eastAsiaTheme="minorEastAsia" w:hAnsi="Cambria Math"/>
                <w:bCs/>
                <w:i/>
              </w:rPr>
            </m:ctrlPr>
          </m:sSubPr>
          <m:e>
            <m:r>
              <w:rPr>
                <w:rFonts w:ascii="Cambria Math" w:eastAsiaTheme="minorEastAsia" w:hAnsi="Cambria Math"/>
              </w:rPr>
              <m:t>1=</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PSA</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RIB</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ϕ</m:t>
                </m:r>
              </m:e>
              <m:sub>
                <m:r>
                  <w:rPr>
                    <w:rFonts w:ascii="Cambria Math" w:eastAsiaTheme="minorEastAsia" w:hAnsi="Cambria Math"/>
                  </w:rPr>
                  <m:t>STR</m:t>
                </m:r>
              </m:sub>
            </m:sSub>
            <m:r>
              <w:rPr>
                <w:rFonts w:ascii="Cambria Math" w:eastAsiaTheme="minorEastAsia" w:hAnsi="Cambria Math"/>
              </w:rPr>
              <m:t>+ϕ</m:t>
            </m:r>
          </m:e>
          <m:sub>
            <m:r>
              <w:rPr>
                <w:rFonts w:ascii="Cambria Math" w:eastAsiaTheme="minorEastAsia" w:hAnsi="Cambria Math"/>
              </w:rPr>
              <m:t>STO</m:t>
            </m:r>
          </m:sub>
        </m:sSub>
      </m:oMath>
      <w:r>
        <w:rPr>
          <w:rFonts w:eastAsiaTheme="minorEastAsia"/>
          <w:bCs/>
        </w:rPr>
        <w:t xml:space="preserve"> </w:t>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t>(S3-12)</w:t>
      </w:r>
    </w:p>
    <w:p w14:paraId="323DA239" w14:textId="77777777" w:rsidR="0032151C" w:rsidRPr="006826BA" w:rsidRDefault="0032151C" w:rsidP="0032151C">
      <w:pPr>
        <w:rPr>
          <w:bCs/>
        </w:rPr>
      </w:pPr>
    </w:p>
    <w:p w14:paraId="32CE9E2D" w14:textId="77777777" w:rsidR="003E1980" w:rsidRPr="00CE6EAA" w:rsidRDefault="003E1980" w:rsidP="009A5287">
      <w:pPr>
        <w:pStyle w:val="SMcaption"/>
      </w:pPr>
    </w:p>
    <w:p w14:paraId="6EB5E426" w14:textId="06909FC4" w:rsidR="0015244E" w:rsidRDefault="0015244E" w:rsidP="003E1980">
      <w:pPr>
        <w:pStyle w:val="SMHeading"/>
        <w:rPr>
          <w:sz w:val="22"/>
          <w:szCs w:val="22"/>
        </w:rPr>
      </w:pPr>
      <w:r>
        <w:rPr>
          <w:noProof/>
          <w:shd w:val="clear" w:color="auto" w:fill="FFFFFF"/>
        </w:rPr>
        <w:lastRenderedPageBreak/>
        <w:drawing>
          <wp:inline distT="0" distB="0" distL="0" distR="0" wp14:anchorId="754DCC16" wp14:editId="7A96F88D">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_nutrientai.eps"/>
                    <pic:cNvPicPr/>
                  </pic:nvPicPr>
                  <pic:blipFill>
                    <a:blip r:embed="rId8">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2A630BF5" w14:textId="513CCE1E" w:rsidR="003E1980" w:rsidRDefault="00227D86" w:rsidP="003E1980">
      <w:pPr>
        <w:pStyle w:val="SMHeading"/>
        <w:rPr>
          <w:b w:val="0"/>
          <w:sz w:val="22"/>
          <w:szCs w:val="22"/>
        </w:rPr>
      </w:pPr>
      <w:r w:rsidRPr="005314B5">
        <w:rPr>
          <w:sz w:val="22"/>
          <w:szCs w:val="22"/>
        </w:rPr>
        <w:t>Figure S1</w:t>
      </w:r>
      <w:r w:rsidR="003E1980" w:rsidRPr="005314B5">
        <w:rPr>
          <w:sz w:val="22"/>
          <w:szCs w:val="22"/>
        </w:rPr>
        <w:t xml:space="preserve">. </w:t>
      </w:r>
      <w:r w:rsidR="0015244E" w:rsidRPr="0015244E">
        <w:rPr>
          <w:b w:val="0"/>
          <w:shd w:val="clear" w:color="auto" w:fill="FFFFFF"/>
        </w:rPr>
        <w:t xml:space="preserve">PCAM nutrient kinetics. Above: relative growth rate (red) and relative number of uptake sites (black).  Below shows steady-state nutrient uptake (black) with uptake parameters as described in </w:t>
      </w:r>
      <w:proofErr w:type="spellStart"/>
      <w:r w:rsidR="0015244E" w:rsidRPr="0015244E">
        <w:rPr>
          <w:b w:val="0"/>
          <w:shd w:val="clear" w:color="auto" w:fill="FFFFFF"/>
        </w:rPr>
        <w:t>Eqs</w:t>
      </w:r>
      <w:proofErr w:type="spellEnd"/>
      <w:r w:rsidR="0015244E" w:rsidRPr="0015244E">
        <w:rPr>
          <w:b w:val="0"/>
          <w:shd w:val="clear" w:color="auto" w:fill="FFFFFF"/>
        </w:rPr>
        <w:t xml:space="preserve">. (S1-5), (S1-6) and (S1-7) shown in blue.  The nitrate concentration corresponding to half saturation for instantaneous uptake (K), </w:t>
      </w:r>
      <w:r w:rsidR="0015244E" w:rsidRPr="0015244E">
        <w:rPr>
          <w:b w:val="0"/>
          <w:shd w:val="clear" w:color="auto" w:fill="FFFFFF"/>
        </w:rPr>
        <w:lastRenderedPageBreak/>
        <w:t>the half saturation for the product of growth and quota (K</w:t>
      </w:r>
      <w:r w:rsidR="0015244E" w:rsidRPr="0015244E">
        <w:rPr>
          <w:b w:val="0"/>
          <w:shd w:val="clear" w:color="auto" w:fill="FFFFFF"/>
          <w:vertAlign w:val="subscript"/>
        </w:rPr>
        <w:sym w:font="Symbol" w:char="F06D"/>
      </w:r>
      <w:r w:rsidR="0015244E" w:rsidRPr="0015244E">
        <w:rPr>
          <w:b w:val="0"/>
          <w:shd w:val="clear" w:color="auto" w:fill="FFFFFF"/>
          <w:vertAlign w:val="subscript"/>
        </w:rPr>
        <w:t>Q</w:t>
      </w:r>
      <w:r w:rsidR="0015244E" w:rsidRPr="0015244E">
        <w:rPr>
          <w:b w:val="0"/>
          <w:shd w:val="clear" w:color="auto" w:fill="FFFFFF"/>
        </w:rPr>
        <w:t>) and the half saturation for steady-state growth rate (K</w:t>
      </w:r>
      <w:r w:rsidR="0015244E" w:rsidRPr="0015244E">
        <w:rPr>
          <w:b w:val="0"/>
          <w:shd w:val="clear" w:color="auto" w:fill="FFFFFF"/>
          <w:vertAlign w:val="subscript"/>
        </w:rPr>
        <w:sym w:font="Symbol" w:char="F06D"/>
      </w:r>
      <w:r w:rsidR="0015244E" w:rsidRPr="0015244E">
        <w:rPr>
          <w:b w:val="0"/>
          <w:shd w:val="clear" w:color="auto" w:fill="FFFFFF"/>
        </w:rPr>
        <w:t>) are indicated by the vertical red lines.</w:t>
      </w:r>
    </w:p>
    <w:p w14:paraId="24BC3C87" w14:textId="77777777" w:rsidR="0015244E" w:rsidRDefault="0015244E" w:rsidP="003E1980">
      <w:pPr>
        <w:pStyle w:val="SMHeading"/>
        <w:rPr>
          <w:b w:val="0"/>
          <w:sz w:val="22"/>
          <w:szCs w:val="22"/>
        </w:rPr>
      </w:pPr>
    </w:p>
    <w:p w14:paraId="646AC289" w14:textId="7BEEAC5F" w:rsidR="0015244E" w:rsidRDefault="0015244E" w:rsidP="003E1980">
      <w:pPr>
        <w:pStyle w:val="SMHeading"/>
        <w:rPr>
          <w:sz w:val="22"/>
          <w:szCs w:val="22"/>
        </w:rPr>
      </w:pPr>
      <w:r>
        <w:rPr>
          <w:noProof/>
          <w:shd w:val="clear" w:color="auto" w:fill="FFFFFF"/>
        </w:rPr>
        <w:drawing>
          <wp:inline distT="0" distB="0" distL="0" distR="0" wp14:anchorId="0E57BBF1" wp14:editId="56D1BC21">
            <wp:extent cx="2463800" cy="2232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calcofi.eps"/>
                    <pic:cNvPicPr/>
                  </pic:nvPicPr>
                  <pic:blipFill rotWithShape="1">
                    <a:blip r:embed="rId9">
                      <a:extLst>
                        <a:ext uri="{28A0092B-C50C-407E-A947-70E740481C1C}">
                          <a14:useLocalDpi xmlns:a14="http://schemas.microsoft.com/office/drawing/2010/main" val="0"/>
                        </a:ext>
                      </a:extLst>
                    </a:blip>
                    <a:srcRect r="17091"/>
                    <a:stretch/>
                  </pic:blipFill>
                  <pic:spPr bwMode="auto">
                    <a:xfrm>
                      <a:off x="0" y="0"/>
                      <a:ext cx="2463908" cy="2232123"/>
                    </a:xfrm>
                    <a:prstGeom prst="rect">
                      <a:avLst/>
                    </a:prstGeom>
                    <a:ln>
                      <a:noFill/>
                    </a:ln>
                    <a:extLst>
                      <a:ext uri="{53640926-AAD7-44D8-BBD7-CCE9431645EC}">
                        <a14:shadowObscured xmlns:a14="http://schemas.microsoft.com/office/drawing/2010/main"/>
                      </a:ext>
                    </a:extLst>
                  </pic:spPr>
                </pic:pic>
              </a:graphicData>
            </a:graphic>
          </wp:inline>
        </w:drawing>
      </w:r>
      <w:r>
        <w:rPr>
          <w:noProof/>
          <w:shd w:val="clear" w:color="auto" w:fill="FFFFFF"/>
        </w:rPr>
        <w:drawing>
          <wp:inline distT="0" distB="0" distL="0" distR="0" wp14:anchorId="00269FD2" wp14:editId="64CDDD28">
            <wp:extent cx="2971800" cy="223212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S2_CalCOFI_chl.eps"/>
                    <pic:cNvPicPr/>
                  </pic:nvPicPr>
                  <pic:blipFill>
                    <a:blip r:embed="rId10">
                      <a:extLst>
                        <a:ext uri="{28A0092B-C50C-407E-A947-70E740481C1C}">
                          <a14:useLocalDpi xmlns:a14="http://schemas.microsoft.com/office/drawing/2010/main" val="0"/>
                        </a:ext>
                      </a:extLst>
                    </a:blip>
                    <a:stretch>
                      <a:fillRect/>
                    </a:stretch>
                  </pic:blipFill>
                  <pic:spPr>
                    <a:xfrm>
                      <a:off x="0" y="0"/>
                      <a:ext cx="2971800" cy="2232123"/>
                    </a:xfrm>
                    <a:prstGeom prst="rect">
                      <a:avLst/>
                    </a:prstGeom>
                  </pic:spPr>
                </pic:pic>
              </a:graphicData>
            </a:graphic>
          </wp:inline>
        </w:drawing>
      </w:r>
    </w:p>
    <w:p w14:paraId="54902931" w14:textId="77777777" w:rsidR="0015244E" w:rsidRDefault="0015244E" w:rsidP="003E1980">
      <w:pPr>
        <w:pStyle w:val="SMHeading"/>
        <w:rPr>
          <w:sz w:val="22"/>
          <w:szCs w:val="22"/>
        </w:rPr>
      </w:pPr>
    </w:p>
    <w:p w14:paraId="16B7F6FB" w14:textId="1C263FC8" w:rsidR="0015244E" w:rsidRPr="00822A85" w:rsidRDefault="0015244E" w:rsidP="00822A85">
      <w:pPr>
        <w:pStyle w:val="SMHeading"/>
        <w:rPr>
          <w:b w:val="0"/>
        </w:rPr>
      </w:pPr>
      <w:r>
        <w:t>Figure S2</w:t>
      </w:r>
      <w:r w:rsidRPr="005314B5">
        <w:t xml:space="preserve">. </w:t>
      </w:r>
      <w:proofErr w:type="spellStart"/>
      <w:r w:rsidRPr="00822A85">
        <w:rPr>
          <w:b w:val="0"/>
        </w:rPr>
        <w:t>CalCOFI</w:t>
      </w:r>
      <w:proofErr w:type="spellEnd"/>
      <w:r w:rsidRPr="00822A85">
        <w:rPr>
          <w:b w:val="0"/>
        </w:rPr>
        <w:t xml:space="preserve"> net primary productivity (NPP) from 14C versus PCAM-inferred NPP (left) and chlorophyll (right) for sampling locations in the upper 120 m from 1985-2012 (n = 7848). Color scale shows log10(PAR) (</w:t>
      </w:r>
      <w:r w:rsidRPr="00822A85">
        <w:rPr>
          <w:b w:val="0"/>
        </w:rPr>
        <w:sym w:font="Symbol" w:char="F06D"/>
      </w:r>
      <w:proofErr w:type="spellStart"/>
      <w:r w:rsidRPr="00822A85">
        <w:rPr>
          <w:b w:val="0"/>
        </w:rPr>
        <w:t>mol</w:t>
      </w:r>
      <w:proofErr w:type="spellEnd"/>
      <w:r w:rsidRPr="00822A85">
        <w:rPr>
          <w:b w:val="0"/>
        </w:rPr>
        <w:t xml:space="preserve"> photons m-2 s-1).  Black line is a 1:1 line.  The dashed line is the best-fit line log10(PCAM NPP) = 1.031 log10(</w:t>
      </w:r>
      <w:proofErr w:type="spellStart"/>
      <w:r w:rsidRPr="00822A85">
        <w:rPr>
          <w:b w:val="0"/>
        </w:rPr>
        <w:t>CalCOFI</w:t>
      </w:r>
      <w:proofErr w:type="spellEnd"/>
      <w:r w:rsidRPr="00822A85">
        <w:rPr>
          <w:b w:val="0"/>
        </w:rPr>
        <w:t xml:space="preserve"> NPP) </w:t>
      </w:r>
      <w:r w:rsidRPr="00822A85">
        <w:rPr>
          <w:b w:val="0"/>
        </w:rPr>
        <w:sym w:font="Symbol" w:char="F02D"/>
      </w:r>
      <w:r w:rsidRPr="00822A85">
        <w:rPr>
          <w:b w:val="0"/>
        </w:rPr>
        <w:t xml:space="preserve"> 0.153.</w:t>
      </w:r>
    </w:p>
    <w:p w14:paraId="34CE76F8" w14:textId="77777777" w:rsidR="005314B5" w:rsidRDefault="005314B5" w:rsidP="00477182">
      <w:pPr>
        <w:pStyle w:val="SMcaption"/>
        <w:rPr>
          <w:sz w:val="22"/>
          <w:szCs w:val="22"/>
        </w:rPr>
      </w:pPr>
    </w:p>
    <w:p w14:paraId="21C8C1AB" w14:textId="2DBA91A4" w:rsidR="0015244E" w:rsidRDefault="0015244E" w:rsidP="00477182">
      <w:pPr>
        <w:pStyle w:val="SMcaption"/>
        <w:rPr>
          <w:sz w:val="22"/>
          <w:szCs w:val="22"/>
        </w:rPr>
      </w:pPr>
      <w:r>
        <w:rPr>
          <w:noProof/>
        </w:rPr>
        <w:drawing>
          <wp:inline distT="0" distB="0" distL="0" distR="0" wp14:anchorId="69721638" wp14:editId="10C05B4E">
            <wp:extent cx="5486400" cy="314237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1_gtprop.eps"/>
                    <pic:cNvPicPr/>
                  </pic:nvPicPr>
                  <pic:blipFill>
                    <a:blip r:embed="rId11">
                      <a:extLst>
                        <a:ext uri="{28A0092B-C50C-407E-A947-70E740481C1C}">
                          <a14:useLocalDpi xmlns:a14="http://schemas.microsoft.com/office/drawing/2010/main" val="0"/>
                        </a:ext>
                      </a:extLst>
                    </a:blip>
                    <a:stretch>
                      <a:fillRect/>
                    </a:stretch>
                  </pic:blipFill>
                  <pic:spPr>
                    <a:xfrm>
                      <a:off x="0" y="0"/>
                      <a:ext cx="5486400" cy="3142371"/>
                    </a:xfrm>
                    <a:prstGeom prst="rect">
                      <a:avLst/>
                    </a:prstGeom>
                  </pic:spPr>
                </pic:pic>
              </a:graphicData>
            </a:graphic>
          </wp:inline>
        </w:drawing>
      </w:r>
    </w:p>
    <w:p w14:paraId="7F792F84" w14:textId="67B3E741" w:rsidR="00B9440A" w:rsidRPr="00822A85" w:rsidRDefault="0015244E" w:rsidP="00B9440A">
      <w:pPr>
        <w:pStyle w:val="SMcaption"/>
        <w:rPr>
          <w:b/>
          <w:i/>
        </w:rPr>
      </w:pPr>
      <w:r w:rsidRPr="0015244E">
        <w:rPr>
          <w:b/>
          <w:sz w:val="22"/>
          <w:szCs w:val="22"/>
        </w:rPr>
        <w:t>Figure S3.</w:t>
      </w:r>
      <w:r>
        <w:rPr>
          <w:sz w:val="22"/>
          <w:szCs w:val="22"/>
        </w:rPr>
        <w:t xml:space="preserve"> </w:t>
      </w:r>
      <w:r>
        <w:rPr>
          <w:szCs w:val="24"/>
          <w:shd w:val="clear" w:color="auto" w:fill="FFFFFF"/>
        </w:rPr>
        <w:t xml:space="preserve">Properties for GEOTRACES ga02 and ga03 Sections.  PAR is in units of </w:t>
      </w:r>
      <w:r>
        <w:rPr>
          <w:szCs w:val="24"/>
          <w:shd w:val="clear" w:color="auto" w:fill="FFFFFF"/>
        </w:rPr>
        <w:sym w:font="Symbol" w:char="F06D"/>
      </w:r>
      <w:proofErr w:type="spellStart"/>
      <w:r>
        <w:rPr>
          <w:szCs w:val="24"/>
          <w:shd w:val="clear" w:color="auto" w:fill="FFFFFF"/>
        </w:rPr>
        <w:t>mol</w:t>
      </w:r>
      <w:proofErr w:type="spellEnd"/>
      <w:r>
        <w:rPr>
          <w:szCs w:val="24"/>
          <w:shd w:val="clear" w:color="auto" w:fill="FFFFFF"/>
        </w:rPr>
        <w:t xml:space="preserve"> photons m</w:t>
      </w:r>
      <w:r w:rsidRPr="00A92C0D">
        <w:rPr>
          <w:szCs w:val="24"/>
          <w:shd w:val="clear" w:color="auto" w:fill="FFFFFF"/>
          <w:vertAlign w:val="superscript"/>
        </w:rPr>
        <w:t>-2</w:t>
      </w:r>
      <w:r>
        <w:rPr>
          <w:szCs w:val="24"/>
          <w:shd w:val="clear" w:color="auto" w:fill="FFFFFF"/>
        </w:rPr>
        <w:t xml:space="preserve"> s</w:t>
      </w:r>
      <w:r w:rsidRPr="00A92C0D">
        <w:rPr>
          <w:szCs w:val="24"/>
          <w:shd w:val="clear" w:color="auto" w:fill="FFFFFF"/>
          <w:vertAlign w:val="superscript"/>
        </w:rPr>
        <w:t>-1</w:t>
      </w:r>
      <w:r>
        <w:rPr>
          <w:szCs w:val="24"/>
          <w:shd w:val="clear" w:color="auto" w:fill="FFFFFF"/>
          <w:vertAlign w:val="superscript"/>
        </w:rPr>
        <w:t xml:space="preserve"> </w:t>
      </w:r>
      <w:r>
        <w:rPr>
          <w:szCs w:val="24"/>
          <w:shd w:val="clear" w:color="auto" w:fill="FFFFFF"/>
        </w:rPr>
        <w:t xml:space="preserve">and Fe, P and N are in </w:t>
      </w:r>
      <w:proofErr w:type="spellStart"/>
      <w:r>
        <w:rPr>
          <w:szCs w:val="24"/>
          <w:shd w:val="clear" w:color="auto" w:fill="FFFFFF"/>
        </w:rPr>
        <w:t>mol</w:t>
      </w:r>
      <w:proofErr w:type="spellEnd"/>
      <w:r>
        <w:rPr>
          <w:szCs w:val="24"/>
          <w:shd w:val="clear" w:color="auto" w:fill="FFFFFF"/>
        </w:rPr>
        <w:t xml:space="preserve"> m</w:t>
      </w:r>
      <w:r w:rsidRPr="005E7B24">
        <w:rPr>
          <w:szCs w:val="24"/>
          <w:shd w:val="clear" w:color="auto" w:fill="FFFFFF"/>
          <w:vertAlign w:val="superscript"/>
        </w:rPr>
        <w:t>-3</w:t>
      </w:r>
      <w:r>
        <w:rPr>
          <w:szCs w:val="24"/>
          <w:shd w:val="clear" w:color="auto" w:fill="FFFFFF"/>
        </w:rPr>
        <w:t>.</w:t>
      </w:r>
    </w:p>
    <w:sectPr w:rsidR="00B9440A" w:rsidRPr="00822A85" w:rsidSect="00F125EE">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70921" w14:textId="77777777" w:rsidR="00D7464F" w:rsidRDefault="00D7464F">
      <w:r>
        <w:separator/>
      </w:r>
    </w:p>
  </w:endnote>
  <w:endnote w:type="continuationSeparator" w:id="0">
    <w:p w14:paraId="18D6AE2A" w14:textId="77777777" w:rsidR="00D7464F" w:rsidRDefault="00D74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游明朝">
    <w:charset w:val="80"/>
    <w:family w:val="auto"/>
    <w:pitch w:val="variable"/>
    <w:sig w:usb0="800002E7" w:usb1="2AC7FCFF" w:usb2="00000012" w:usb3="00000000" w:csb0="000200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6102A" w14:textId="77777777" w:rsidR="0032151C" w:rsidRDefault="0032151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8E7ED" w14:textId="77777777" w:rsidR="0032151C" w:rsidRDefault="0032151C">
    <w:pPr>
      <w:pStyle w:val="Footer"/>
      <w:jc w:val="right"/>
    </w:pPr>
    <w:r>
      <w:fldChar w:fldCharType="begin"/>
    </w:r>
    <w:r>
      <w:instrText xml:space="preserve"> PAGE   \* MERGEFORMAT </w:instrText>
    </w:r>
    <w:r>
      <w:fldChar w:fldCharType="separate"/>
    </w:r>
    <w:r w:rsidR="00E34DC7">
      <w:rPr>
        <w:noProof/>
      </w:rPr>
      <w:t>2</w:t>
    </w:r>
    <w:r>
      <w:fldChar w:fldCharType="end"/>
    </w:r>
  </w:p>
  <w:p w14:paraId="486656F3" w14:textId="77777777" w:rsidR="0032151C" w:rsidRDefault="0032151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BBCA3" w14:textId="77777777" w:rsidR="0032151C" w:rsidRDefault="0032151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08444" w14:textId="77777777" w:rsidR="00D7464F" w:rsidRDefault="00D7464F">
      <w:r>
        <w:separator/>
      </w:r>
    </w:p>
  </w:footnote>
  <w:footnote w:type="continuationSeparator" w:id="0">
    <w:p w14:paraId="00F32F97" w14:textId="77777777" w:rsidR="00D7464F" w:rsidRDefault="00D746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9EF6B" w14:textId="77777777" w:rsidR="0032151C" w:rsidRDefault="0032151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23C1C" w14:textId="77777777" w:rsidR="0032151C" w:rsidRPr="005001AC" w:rsidRDefault="0032151C" w:rsidP="005001AC">
    <w:pPr>
      <w:jc w:val="right"/>
      <w:rPr>
        <w:sz w:val="20"/>
      </w:rPr>
    </w:pPr>
  </w:p>
  <w:p w14:paraId="18F8F636" w14:textId="77777777" w:rsidR="0032151C" w:rsidRDefault="0032151C"/>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C5ADD" w14:textId="77777777" w:rsidR="0032151C" w:rsidRDefault="0032151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5244E"/>
    <w:rsid w:val="0016337A"/>
    <w:rsid w:val="00164269"/>
    <w:rsid w:val="001966FD"/>
    <w:rsid w:val="00197826"/>
    <w:rsid w:val="001A1BDE"/>
    <w:rsid w:val="001C7B4E"/>
    <w:rsid w:val="001F0876"/>
    <w:rsid w:val="001F167C"/>
    <w:rsid w:val="001F5E91"/>
    <w:rsid w:val="0020183F"/>
    <w:rsid w:val="002062D8"/>
    <w:rsid w:val="002077B9"/>
    <w:rsid w:val="00221C70"/>
    <w:rsid w:val="002251AF"/>
    <w:rsid w:val="00227D86"/>
    <w:rsid w:val="00243B68"/>
    <w:rsid w:val="00262D72"/>
    <w:rsid w:val="002800B6"/>
    <w:rsid w:val="002B35D4"/>
    <w:rsid w:val="002C030F"/>
    <w:rsid w:val="002F3966"/>
    <w:rsid w:val="00320E2C"/>
    <w:rsid w:val="0032151C"/>
    <w:rsid w:val="00331D75"/>
    <w:rsid w:val="00355362"/>
    <w:rsid w:val="00363E44"/>
    <w:rsid w:val="00395E86"/>
    <w:rsid w:val="003A2FD8"/>
    <w:rsid w:val="003B40E6"/>
    <w:rsid w:val="003C007A"/>
    <w:rsid w:val="003E1980"/>
    <w:rsid w:val="003F6E14"/>
    <w:rsid w:val="00405336"/>
    <w:rsid w:val="004568BC"/>
    <w:rsid w:val="004571D5"/>
    <w:rsid w:val="00462F1B"/>
    <w:rsid w:val="0046356B"/>
    <w:rsid w:val="00477182"/>
    <w:rsid w:val="004779CB"/>
    <w:rsid w:val="00481118"/>
    <w:rsid w:val="004B2481"/>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807D35"/>
    <w:rsid w:val="008115D9"/>
    <w:rsid w:val="00822A85"/>
    <w:rsid w:val="00825950"/>
    <w:rsid w:val="00885C9B"/>
    <w:rsid w:val="008927D0"/>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7DA6"/>
    <w:rsid w:val="00AD499C"/>
    <w:rsid w:val="00B30334"/>
    <w:rsid w:val="00B3147F"/>
    <w:rsid w:val="00B36869"/>
    <w:rsid w:val="00B43B31"/>
    <w:rsid w:val="00B47CFA"/>
    <w:rsid w:val="00B57F00"/>
    <w:rsid w:val="00B626CB"/>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50C6D"/>
    <w:rsid w:val="00C600D9"/>
    <w:rsid w:val="00C634D7"/>
    <w:rsid w:val="00C73E09"/>
    <w:rsid w:val="00CC1384"/>
    <w:rsid w:val="00CD3720"/>
    <w:rsid w:val="00CE6EAA"/>
    <w:rsid w:val="00CF1848"/>
    <w:rsid w:val="00CF5C2F"/>
    <w:rsid w:val="00D04BCF"/>
    <w:rsid w:val="00D10134"/>
    <w:rsid w:val="00D143D9"/>
    <w:rsid w:val="00D4372A"/>
    <w:rsid w:val="00D60BB0"/>
    <w:rsid w:val="00D65708"/>
    <w:rsid w:val="00D7464F"/>
    <w:rsid w:val="00D8159F"/>
    <w:rsid w:val="00D83184"/>
    <w:rsid w:val="00DD1D04"/>
    <w:rsid w:val="00DD79D7"/>
    <w:rsid w:val="00E20431"/>
    <w:rsid w:val="00E257C8"/>
    <w:rsid w:val="00E34DC7"/>
    <w:rsid w:val="00E40896"/>
    <w:rsid w:val="00E43D2D"/>
    <w:rsid w:val="00E449CB"/>
    <w:rsid w:val="00E63760"/>
    <w:rsid w:val="00E64049"/>
    <w:rsid w:val="00E9773B"/>
    <w:rsid w:val="00EC13A3"/>
    <w:rsid w:val="00EC7C85"/>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C14E8"/>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unhideWhenUsed="1"/>
    <w:lsdException w:name="HTML Variable" w:semiHidden="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2151C"/>
    <w:rPr>
      <w:rFonts w:ascii="Myriad Pro" w:hAnsi="Myriad Pro"/>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4324</Words>
  <Characters>24649</Characters>
  <Application>Microsoft Macintosh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David Nicholson</cp:lastModifiedBy>
  <cp:revision>5</cp:revision>
  <cp:lastPrinted>2014-09-30T16:49:00Z</cp:lastPrinted>
  <dcterms:created xsi:type="dcterms:W3CDTF">2017-10-23T18:21:00Z</dcterms:created>
  <dcterms:modified xsi:type="dcterms:W3CDTF">2017-10-24T14:58:00Z</dcterms:modified>
</cp:coreProperties>
</file>