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8F" w:rsidRPr="001549D3" w:rsidRDefault="00654E8F" w:rsidP="0001436A">
      <w:pPr>
        <w:pStyle w:val="SupplementaryMaterial"/>
        <w:rPr>
          <w:b w:val="0"/>
        </w:rPr>
      </w:pPr>
      <w:r w:rsidRPr="001549D3">
        <w:t>Supplementary Material</w:t>
      </w:r>
    </w:p>
    <w:p w:rsidR="007741DE" w:rsidRPr="00376CC5" w:rsidRDefault="007741DE" w:rsidP="007741DE">
      <w:pPr>
        <w:pStyle w:val="Title"/>
      </w:pPr>
      <w:r w:rsidRPr="00DB3E9F">
        <w:t xml:space="preserve">Comparative genomic analysis of the class </w:t>
      </w:r>
      <w:r w:rsidRPr="00DB3E9F">
        <w:rPr>
          <w:i/>
        </w:rPr>
        <w:t>Epsilonproteobacteria</w:t>
      </w:r>
      <w:r w:rsidRPr="00DB3E9F">
        <w:t xml:space="preserve"> and proposed reclassification to Epsilonbacteraeota (</w:t>
      </w:r>
      <w:proofErr w:type="spellStart"/>
      <w:r w:rsidRPr="00DB3E9F">
        <w:rPr>
          <w:i/>
        </w:rPr>
        <w:t>phyl</w:t>
      </w:r>
      <w:proofErr w:type="spellEnd"/>
      <w:r w:rsidRPr="00DB3E9F">
        <w:rPr>
          <w:i/>
        </w:rPr>
        <w:t xml:space="preserve">. </w:t>
      </w:r>
      <w:proofErr w:type="spellStart"/>
      <w:proofErr w:type="gramStart"/>
      <w:r w:rsidRPr="00DB3E9F">
        <w:rPr>
          <w:i/>
        </w:rPr>
        <w:t>nov</w:t>
      </w:r>
      <w:proofErr w:type="gramEnd"/>
      <w:r w:rsidRPr="00DB3E9F">
        <w:rPr>
          <w:i/>
        </w:rPr>
        <w:t>.</w:t>
      </w:r>
      <w:proofErr w:type="spellEnd"/>
      <w:r w:rsidRPr="00DB3E9F">
        <w:t>)</w:t>
      </w:r>
    </w:p>
    <w:p w:rsidR="007741DE" w:rsidRPr="004B14CD" w:rsidRDefault="007741DE" w:rsidP="007741DE">
      <w:pPr>
        <w:pStyle w:val="AuthorList"/>
        <w:rPr>
          <w:vertAlign w:val="superscript"/>
        </w:rPr>
      </w:pPr>
      <w:r>
        <w:rPr>
          <w:color w:val="000000"/>
        </w:rPr>
        <w:t>David W. Waite</w:t>
      </w:r>
      <w:r w:rsidRPr="00376CC5">
        <w:t xml:space="preserve">, </w:t>
      </w:r>
      <w:r>
        <w:rPr>
          <w:color w:val="000000"/>
        </w:rPr>
        <w:t>Inka Vanwonterghem</w:t>
      </w:r>
      <w:r w:rsidRPr="00376CC5">
        <w:t xml:space="preserve">, </w:t>
      </w:r>
      <w:r>
        <w:rPr>
          <w:color w:val="000000"/>
        </w:rPr>
        <w:t>Christian Rinke</w:t>
      </w:r>
      <w:r>
        <w:t xml:space="preserve">, </w:t>
      </w:r>
      <w:r>
        <w:rPr>
          <w:color w:val="000000"/>
        </w:rPr>
        <w:t>Donovan H. Parks</w:t>
      </w:r>
      <w:r w:rsidRPr="00376CC5">
        <w:t xml:space="preserve">, </w:t>
      </w:r>
      <w:r>
        <w:rPr>
          <w:color w:val="000000"/>
        </w:rPr>
        <w:t>Ying Zhang</w:t>
      </w:r>
      <w:r w:rsidRPr="00376CC5">
        <w:t xml:space="preserve">, </w:t>
      </w:r>
      <w:r w:rsidRPr="001F1ABC">
        <w:t xml:space="preserve">Ken </w:t>
      </w:r>
      <w:proofErr w:type="spellStart"/>
      <w:r w:rsidRPr="001F1ABC">
        <w:t>Takai</w:t>
      </w:r>
      <w:proofErr w:type="spellEnd"/>
      <w:r>
        <w:rPr>
          <w:color w:val="000000"/>
        </w:rPr>
        <w:t>, Stefan M. Sievert</w:t>
      </w:r>
      <w:r w:rsidRPr="00376CC5">
        <w:t xml:space="preserve">, </w:t>
      </w:r>
      <w:r>
        <w:rPr>
          <w:color w:val="000000"/>
        </w:rPr>
        <w:t>Jörg Simon</w:t>
      </w:r>
      <w:r w:rsidRPr="00376CC5">
        <w:t xml:space="preserve">, </w:t>
      </w:r>
      <w:r>
        <w:rPr>
          <w:color w:val="000000"/>
        </w:rPr>
        <w:t>Barbara J. Campbell, Thomas E. Hanson</w:t>
      </w:r>
      <w:r w:rsidRPr="00376CC5">
        <w:t xml:space="preserve">, </w:t>
      </w:r>
      <w:r>
        <w:rPr>
          <w:color w:val="000000"/>
        </w:rPr>
        <w:t xml:space="preserve">Tanja </w:t>
      </w:r>
      <w:proofErr w:type="spellStart"/>
      <w:r>
        <w:rPr>
          <w:color w:val="000000"/>
        </w:rPr>
        <w:t>Woyke</w:t>
      </w:r>
      <w:proofErr w:type="spellEnd"/>
      <w:r w:rsidRPr="00376CC5">
        <w:t xml:space="preserve">, </w:t>
      </w:r>
      <w:r>
        <w:rPr>
          <w:color w:val="000000"/>
        </w:rPr>
        <w:t xml:space="preserve">Martin </w:t>
      </w:r>
      <w:r w:rsidR="00E97D20">
        <w:rPr>
          <w:color w:val="000000"/>
        </w:rPr>
        <w:t xml:space="preserve">G. </w:t>
      </w:r>
      <w:r>
        <w:rPr>
          <w:color w:val="000000"/>
        </w:rPr>
        <w:t>Klotz</w:t>
      </w:r>
      <w:r>
        <w:t xml:space="preserve">, </w:t>
      </w:r>
      <w:r>
        <w:rPr>
          <w:color w:val="000000"/>
        </w:rPr>
        <w:t>Philip Hugenholtz*</w:t>
      </w:r>
    </w:p>
    <w:p w:rsidR="00215538" w:rsidRPr="00874D9F" w:rsidRDefault="002868E2" w:rsidP="00874D9F">
      <w:pPr>
        <w:spacing w:before="240" w:after="0"/>
        <w:rPr>
          <w:rFonts w:cs="Times New Roman"/>
        </w:rPr>
      </w:pPr>
      <w:r w:rsidRPr="00994A3D">
        <w:rPr>
          <w:rFonts w:cs="Times New Roman"/>
          <w:b/>
        </w:rPr>
        <w:t xml:space="preserve">* Correspondence: </w:t>
      </w:r>
      <w:r w:rsidR="007741DE">
        <w:rPr>
          <w:rFonts w:cs="Times New Roman"/>
        </w:rPr>
        <w:t>Philip Hugenholtz</w:t>
      </w:r>
      <w:r w:rsidR="00994A3D" w:rsidRPr="00994A3D">
        <w:rPr>
          <w:rFonts w:cs="Times New Roman"/>
        </w:rPr>
        <w:t xml:space="preserve">: </w:t>
      </w:r>
      <w:r w:rsidR="00FF51DC" w:rsidRPr="00FF51DC">
        <w:rPr>
          <w:rFonts w:cs="Times New Roman"/>
        </w:rPr>
        <w:t>p.hugenholtz@uq.edu.au</w:t>
      </w:r>
      <w:r w:rsidR="00215538">
        <w:br w:type="page"/>
      </w:r>
    </w:p>
    <w:p w:rsidR="00070304" w:rsidRDefault="00070304">
      <w:pPr>
        <w:spacing w:before="0" w:after="200" w:line="276" w:lineRule="auto"/>
        <w:sectPr w:rsidR="00070304" w:rsidSect="005C5DA9">
          <w:headerReference w:type="even" r:id="rId8"/>
          <w:footerReference w:type="even" r:id="rId9"/>
          <w:footerReference w:type="default" r:id="rId10"/>
          <w:headerReference w:type="first" r:id="rId11"/>
          <w:type w:val="continuous"/>
          <w:pgSz w:w="12240" w:h="15840"/>
          <w:pgMar w:top="1138" w:right="1181" w:bottom="1138" w:left="1282" w:header="720" w:footer="720" w:gutter="0"/>
          <w:cols w:space="720"/>
          <w:titlePg/>
          <w:docGrid w:linePitch="360"/>
        </w:sectPr>
      </w:pPr>
    </w:p>
    <w:p w:rsidR="00070304" w:rsidRDefault="00070304" w:rsidP="008C0394">
      <w:pPr>
        <w:spacing w:before="0" w:after="200" w:line="276" w:lineRule="auto"/>
        <w:jc w:val="center"/>
      </w:pPr>
      <w:r>
        <w:rPr>
          <w:noProof/>
          <w:lang w:val="en-AU" w:eastAsia="en-AU"/>
        </w:rPr>
        <w:lastRenderedPageBreak/>
        <w:drawing>
          <wp:inline distT="0" distB="0" distL="0" distR="0">
            <wp:extent cx="6667500" cy="508207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80387" cy="5091901"/>
                    </a:xfrm>
                    <a:prstGeom prst="rect">
                      <a:avLst/>
                    </a:prstGeom>
                  </pic:spPr>
                </pic:pic>
              </a:graphicData>
            </a:graphic>
          </wp:inline>
        </w:drawing>
      </w:r>
    </w:p>
    <w:p w:rsidR="00A57EAA" w:rsidRDefault="00070304" w:rsidP="008C0394">
      <w:pPr>
        <w:spacing w:before="0" w:after="200" w:line="276" w:lineRule="auto"/>
        <w:jc w:val="both"/>
        <w:rPr>
          <w:lang w:val="en-NZ"/>
        </w:rPr>
      </w:pPr>
      <w:r w:rsidRPr="00070304">
        <w:rPr>
          <w:b/>
          <w:bCs/>
          <w:lang w:val="en-NZ"/>
        </w:rPr>
        <w:t xml:space="preserve">Supplemental Figure S1: </w:t>
      </w:r>
      <w:r w:rsidRPr="00070304">
        <w:rPr>
          <w:bCs/>
          <w:lang w:val="en-NZ"/>
        </w:rPr>
        <w:t>Maximum likelihood phylogenetic inference of concatenated 16S and 23S rRNA sequences.</w:t>
      </w:r>
      <w:r>
        <w:rPr>
          <w:bCs/>
          <w:lang w:val="en-NZ"/>
        </w:rPr>
        <w:t xml:space="preserve"> </w:t>
      </w:r>
      <w:r w:rsidRPr="00070304">
        <w:rPr>
          <w:lang w:val="en-NZ"/>
        </w:rPr>
        <w:t xml:space="preserve">Tree robustness was assessed with 1,000 bootstrap iterations. Symbols denote support &gt;90% (solid) or &gt;75% (hollow). Under this analysis the proposed family </w:t>
      </w:r>
      <w:r w:rsidRPr="00070304">
        <w:rPr>
          <w:i/>
          <w:iCs/>
          <w:lang w:val="en-NZ"/>
        </w:rPr>
        <w:t>Sulfurovaceae</w:t>
      </w:r>
      <w:r w:rsidRPr="00070304">
        <w:rPr>
          <w:lang w:val="en-NZ"/>
        </w:rPr>
        <w:t xml:space="preserve"> (red) is not monophyletic.</w:t>
      </w:r>
    </w:p>
    <w:p w:rsidR="00A57EAA" w:rsidRDefault="00A57EAA" w:rsidP="00A57EAA">
      <w:pPr>
        <w:pStyle w:val="Title"/>
        <w:rPr>
          <w:lang w:val="en-NZ"/>
        </w:rPr>
        <w:sectPr w:rsidR="00A57EAA" w:rsidSect="005C5DA9">
          <w:type w:val="continuous"/>
          <w:pgSz w:w="15840" w:h="12240" w:orient="landscape"/>
          <w:pgMar w:top="1281" w:right="1140" w:bottom="1179" w:left="1140" w:header="720" w:footer="720" w:gutter="0"/>
          <w:cols w:space="720"/>
          <w:titlePg/>
          <w:docGrid w:linePitch="360"/>
        </w:sectPr>
      </w:pPr>
    </w:p>
    <w:p w:rsidR="00732B95" w:rsidRDefault="00732B95" w:rsidP="00C12FB5">
      <w:pPr>
        <w:spacing w:before="0" w:after="200" w:line="276" w:lineRule="auto"/>
        <w:jc w:val="both"/>
        <w:rPr>
          <w:b/>
          <w:bCs/>
          <w:color w:val="6D9EEB"/>
        </w:rPr>
      </w:pPr>
      <w:r>
        <w:rPr>
          <w:b/>
          <w:bCs/>
          <w:noProof/>
          <w:color w:val="6D9EEB"/>
          <w:lang w:val="en-AU" w:eastAsia="en-AU"/>
        </w:rPr>
        <w:lastRenderedPageBreak/>
        <w:drawing>
          <wp:inline distT="0" distB="0" distL="0" distR="0">
            <wp:extent cx="6210300" cy="44354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300" cy="4435475"/>
                    </a:xfrm>
                    <a:prstGeom prst="rect">
                      <a:avLst/>
                    </a:prstGeom>
                  </pic:spPr>
                </pic:pic>
              </a:graphicData>
            </a:graphic>
          </wp:inline>
        </w:drawing>
      </w:r>
    </w:p>
    <w:p w:rsidR="005C6731" w:rsidRDefault="005C6731" w:rsidP="00C12FB5">
      <w:pPr>
        <w:spacing w:before="0" w:after="200" w:line="276" w:lineRule="auto"/>
        <w:jc w:val="both"/>
        <w:rPr>
          <w:lang w:val="en-NZ"/>
        </w:rPr>
      </w:pPr>
      <w:r>
        <w:rPr>
          <w:b/>
          <w:bCs/>
          <w:color w:val="6D9EEB"/>
        </w:rPr>
        <w:t xml:space="preserve">Supplemental Figure S2: </w:t>
      </w:r>
      <w:r w:rsidRPr="00594761">
        <w:rPr>
          <w:bCs/>
          <w:color w:val="6D9EEB"/>
        </w:rPr>
        <w:t>Comparison of Epsilonbacteraeota to previously described family boundaries.</w:t>
      </w:r>
      <w:r w:rsidR="00594761" w:rsidRPr="00594761">
        <w:rPr>
          <w:bCs/>
          <w:color w:val="6D9EEB"/>
        </w:rPr>
        <w:t xml:space="preserve"> </w:t>
      </w:r>
      <w:r>
        <w:rPr>
          <w:color w:val="6D9EEB"/>
        </w:rPr>
        <w:t xml:space="preserve">As comparisons are only made between-genera some families are omitted. </w:t>
      </w:r>
      <w:r>
        <w:rPr>
          <w:i/>
          <w:iCs/>
          <w:color w:val="6D9EEB"/>
        </w:rPr>
        <w:t xml:space="preserve">Campylobacteraceae </w:t>
      </w:r>
      <w:r>
        <w:rPr>
          <w:color w:val="6D9EEB"/>
        </w:rPr>
        <w:t xml:space="preserve">similarities were calculated using the proposed genus groupings proposed in </w:t>
      </w:r>
      <w:r>
        <w:rPr>
          <w:b/>
          <w:bCs/>
          <w:color w:val="6D9EEB"/>
        </w:rPr>
        <w:t>Figure 2</w:t>
      </w:r>
      <w:r>
        <w:rPr>
          <w:color w:val="6D9EEB"/>
        </w:rPr>
        <w:t xml:space="preserve">. Top: 16S rRNA sequence similarity compared to the boundaries proposed by </w:t>
      </w:r>
      <w:proofErr w:type="spellStart"/>
      <w:r>
        <w:rPr>
          <w:color w:val="6D9EEB"/>
        </w:rPr>
        <w:t>Yarza</w:t>
      </w:r>
      <w:proofErr w:type="spellEnd"/>
      <w:r>
        <w:rPr>
          <w:color w:val="6D9EEB"/>
        </w:rPr>
        <w:t xml:space="preserve"> et al. (2014).</w:t>
      </w:r>
      <w:r w:rsidR="00F04C8F">
        <w:rPr>
          <w:color w:val="6D9EEB"/>
        </w:rPr>
        <w:t xml:space="preserve"> Bottom: Amino acid identities </w:t>
      </w:r>
      <w:r>
        <w:rPr>
          <w:color w:val="6D9EEB"/>
        </w:rPr>
        <w:t xml:space="preserve">compared to boundaries extrapolated from </w:t>
      </w:r>
      <w:proofErr w:type="spellStart"/>
      <w:r>
        <w:rPr>
          <w:color w:val="6D9EEB"/>
        </w:rPr>
        <w:t>K</w:t>
      </w:r>
      <w:r w:rsidR="00F04C8F">
        <w:rPr>
          <w:color w:val="6D9EEB"/>
        </w:rPr>
        <w:t>onstantinidis</w:t>
      </w:r>
      <w:proofErr w:type="spellEnd"/>
      <w:r w:rsidR="00F04C8F">
        <w:rPr>
          <w:color w:val="6D9EEB"/>
        </w:rPr>
        <w:t xml:space="preserve"> and </w:t>
      </w:r>
      <w:proofErr w:type="spellStart"/>
      <w:r w:rsidR="00F04C8F">
        <w:rPr>
          <w:color w:val="6D9EEB"/>
        </w:rPr>
        <w:t>Tiedje</w:t>
      </w:r>
      <w:proofErr w:type="spellEnd"/>
      <w:r w:rsidR="00F04C8F">
        <w:rPr>
          <w:color w:val="6D9EEB"/>
        </w:rPr>
        <w:t xml:space="preserve"> (2005)</w:t>
      </w:r>
      <w:r w:rsidR="005C4C77">
        <w:rPr>
          <w:color w:val="6D9EEB"/>
        </w:rPr>
        <w:t>. Note that the values in this study consisted of overlapping ranges, which have not been drawn for clarity. Boundaries are instead plotted as the midpoint between boundary overlap.</w:t>
      </w:r>
      <w:r>
        <w:rPr>
          <w:lang w:val="en-NZ"/>
        </w:rPr>
        <w:br w:type="page"/>
      </w:r>
    </w:p>
    <w:p w:rsidR="00A57EAA" w:rsidRDefault="00A57EAA" w:rsidP="00A57EAA">
      <w:pPr>
        <w:jc w:val="center"/>
        <w:rPr>
          <w:lang w:val="en-NZ"/>
        </w:rPr>
      </w:pPr>
      <w:r>
        <w:rPr>
          <w:noProof/>
          <w:lang w:val="en-AU" w:eastAsia="en-AU"/>
        </w:rPr>
        <w:lastRenderedPageBreak/>
        <w:drawing>
          <wp:inline distT="0" distB="0" distL="0" distR="0">
            <wp:extent cx="5499100" cy="6851384"/>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9060" cy="6863794"/>
                    </a:xfrm>
                    <a:prstGeom prst="rect">
                      <a:avLst/>
                    </a:prstGeom>
                  </pic:spPr>
                </pic:pic>
              </a:graphicData>
            </a:graphic>
          </wp:inline>
        </w:drawing>
      </w:r>
    </w:p>
    <w:p w:rsidR="00A57EAA" w:rsidRPr="00A57EAA" w:rsidRDefault="00A57EAA" w:rsidP="00A57EAA">
      <w:pPr>
        <w:jc w:val="both"/>
        <w:rPr>
          <w:lang w:val="en-AU"/>
        </w:rPr>
      </w:pPr>
      <w:r w:rsidRPr="00A57EAA">
        <w:rPr>
          <w:b/>
          <w:bCs/>
          <w:lang w:val="en-NZ"/>
        </w:rPr>
        <w:t>Supplemental Figure S</w:t>
      </w:r>
      <w:r w:rsidR="001516CB">
        <w:rPr>
          <w:b/>
          <w:bCs/>
          <w:lang w:val="en-NZ"/>
        </w:rPr>
        <w:t>3</w:t>
      </w:r>
      <w:r w:rsidRPr="00A57EAA">
        <w:rPr>
          <w:b/>
          <w:bCs/>
          <w:lang w:val="en-NZ"/>
        </w:rPr>
        <w:t xml:space="preserve">: </w:t>
      </w:r>
      <w:r w:rsidRPr="00A57EAA">
        <w:rPr>
          <w:bCs/>
          <w:lang w:val="en-NZ"/>
        </w:rPr>
        <w:t>Consensus topology of single protein marker phylogenetic analyses.</w:t>
      </w:r>
      <w:r>
        <w:rPr>
          <w:bCs/>
          <w:lang w:val="en-NZ"/>
        </w:rPr>
        <w:t xml:space="preserve"> </w:t>
      </w:r>
      <w:r w:rsidRPr="00A57EAA">
        <w:rPr>
          <w:lang w:val="en-NZ"/>
        </w:rPr>
        <w:t xml:space="preserve">Individual tree topologies were calculated for each individual protein marker and assessed for consistency with the concatenated marker tree topology (displayed). For each junction in the concatenated tree, the child leaf nodes (genomes) were tested for </w:t>
      </w:r>
      <w:proofErr w:type="spellStart"/>
      <w:r w:rsidRPr="00A57EAA">
        <w:rPr>
          <w:lang w:val="en-NZ"/>
        </w:rPr>
        <w:t>monophyly</w:t>
      </w:r>
      <w:proofErr w:type="spellEnd"/>
      <w:r w:rsidRPr="00A57EAA">
        <w:rPr>
          <w:lang w:val="en-NZ"/>
        </w:rPr>
        <w:t xml:space="preserve"> in each single marker tree. Results are reported for each junction in red. Note that as not every protein is present in every genome, counts are not necessarily a fraction of 120 total tree topologies.</w:t>
      </w:r>
    </w:p>
    <w:p w:rsidR="00A1380F" w:rsidRDefault="00A1380F" w:rsidP="00A57EAA">
      <w:pPr>
        <w:rPr>
          <w:lang w:val="en-NZ"/>
        </w:rPr>
        <w:sectPr w:rsidR="00A1380F" w:rsidSect="005C5DA9">
          <w:type w:val="continuous"/>
          <w:pgSz w:w="12240" w:h="15840"/>
          <w:pgMar w:top="1140" w:right="1179" w:bottom="1140" w:left="1281" w:header="720" w:footer="720" w:gutter="0"/>
          <w:cols w:space="720"/>
          <w:titlePg/>
          <w:docGrid w:linePitch="360"/>
        </w:sectPr>
      </w:pPr>
    </w:p>
    <w:p w:rsidR="00A57EAA" w:rsidRDefault="00A1380F" w:rsidP="00A90DEA">
      <w:pPr>
        <w:jc w:val="center"/>
        <w:rPr>
          <w:lang w:val="en-NZ"/>
        </w:rPr>
      </w:pPr>
      <w:r>
        <w:rPr>
          <w:noProof/>
          <w:lang w:val="en-AU" w:eastAsia="en-AU"/>
        </w:rPr>
        <w:lastRenderedPageBreak/>
        <w:drawing>
          <wp:inline distT="0" distB="0" distL="0" distR="0">
            <wp:extent cx="6063645" cy="448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2025" cy="4489296"/>
                    </a:xfrm>
                    <a:prstGeom prst="rect">
                      <a:avLst/>
                    </a:prstGeom>
                  </pic:spPr>
                </pic:pic>
              </a:graphicData>
            </a:graphic>
          </wp:inline>
        </w:drawing>
      </w:r>
    </w:p>
    <w:p w:rsidR="00A1380F" w:rsidRPr="00A1380F" w:rsidRDefault="00A1380F" w:rsidP="00A1380F">
      <w:pPr>
        <w:spacing w:before="0" w:after="200" w:line="276" w:lineRule="auto"/>
        <w:jc w:val="both"/>
        <w:rPr>
          <w:lang w:val="en-AU"/>
        </w:rPr>
      </w:pPr>
      <w:r w:rsidRPr="00A1380F">
        <w:rPr>
          <w:b/>
          <w:bCs/>
          <w:lang w:val="en-NZ"/>
        </w:rPr>
        <w:t>Supplemental Figure S</w:t>
      </w:r>
      <w:r w:rsidR="000361A6">
        <w:rPr>
          <w:b/>
          <w:bCs/>
          <w:lang w:val="en-NZ"/>
        </w:rPr>
        <w:t>4</w:t>
      </w:r>
      <w:r w:rsidRPr="00A1380F">
        <w:rPr>
          <w:b/>
          <w:bCs/>
          <w:lang w:val="en-NZ"/>
        </w:rPr>
        <w:t>:</w:t>
      </w:r>
      <w:r w:rsidRPr="00A1380F">
        <w:rPr>
          <w:bCs/>
          <w:lang w:val="en-NZ"/>
        </w:rPr>
        <w:t xml:space="preserve"> Maximum likelihood phylogenetic inference of 16S rRNA sequences. </w:t>
      </w:r>
      <w:r w:rsidRPr="00A1380F">
        <w:rPr>
          <w:lang w:val="en-NZ"/>
        </w:rPr>
        <w:t xml:space="preserve">Reference sequences (black) were obtained from the SILVA Living Tree Project (release 123), with the exception of </w:t>
      </w:r>
      <w:r w:rsidRPr="00A1380F">
        <w:rPr>
          <w:i/>
          <w:iCs/>
          <w:lang w:val="en-NZ"/>
        </w:rPr>
        <w:t>Thiovulum</w:t>
      </w:r>
      <w:r w:rsidRPr="00A1380F">
        <w:rPr>
          <w:lang w:val="en-NZ"/>
        </w:rPr>
        <w:t xml:space="preserve"> sp. which was obtained from NCBI </w:t>
      </w:r>
      <w:proofErr w:type="spellStart"/>
      <w:r w:rsidRPr="00A1380F">
        <w:rPr>
          <w:lang w:val="en-NZ"/>
        </w:rPr>
        <w:t>GenBank</w:t>
      </w:r>
      <w:proofErr w:type="spellEnd"/>
      <w:r w:rsidRPr="00A1380F">
        <w:rPr>
          <w:lang w:val="en-NZ"/>
        </w:rPr>
        <w:t xml:space="preserve">. Putative Epsilonbacteraeota for which genomes are not available (red) were tested for their placement within this data set. Tree robustness was assessed by 1,000 bootstrap iterations with support denoted by solid (&gt;90%) or hollow (&gt;75%) junctions. Only a partial sequence was available for </w:t>
      </w:r>
      <w:r w:rsidRPr="00A1380F">
        <w:rPr>
          <w:i/>
          <w:iCs/>
          <w:lang w:val="en-NZ"/>
        </w:rPr>
        <w:t>Candidatus</w:t>
      </w:r>
      <w:r w:rsidRPr="00A1380F">
        <w:rPr>
          <w:lang w:val="en-NZ"/>
        </w:rPr>
        <w:t xml:space="preserve"> Thioturbo </w:t>
      </w:r>
      <w:proofErr w:type="spellStart"/>
      <w:r w:rsidRPr="00A1380F">
        <w:rPr>
          <w:lang w:val="en-NZ"/>
        </w:rPr>
        <w:t>danicus</w:t>
      </w:r>
      <w:proofErr w:type="spellEnd"/>
      <w:r w:rsidRPr="00A1380F">
        <w:rPr>
          <w:lang w:val="en-NZ"/>
        </w:rPr>
        <w:t>, and this sequence was inserted into the main tree using the Parsimony Insertion tool in ARB following tree construction. [T]</w:t>
      </w:r>
      <w:r w:rsidR="0001019F">
        <w:rPr>
          <w:lang w:val="en-NZ"/>
        </w:rPr>
        <w:t>:</w:t>
      </w:r>
      <w:r w:rsidRPr="00A1380F">
        <w:rPr>
          <w:lang w:val="en-NZ"/>
        </w:rPr>
        <w:t xml:space="preserve"> denotes type strain. SILVA LTP or </w:t>
      </w:r>
      <w:proofErr w:type="spellStart"/>
      <w:r w:rsidRPr="00A1380F">
        <w:rPr>
          <w:lang w:val="en-NZ"/>
        </w:rPr>
        <w:t>GenBank</w:t>
      </w:r>
      <w:proofErr w:type="spellEnd"/>
      <w:r w:rsidRPr="00A1380F">
        <w:rPr>
          <w:lang w:val="en-NZ"/>
        </w:rPr>
        <w:t xml:space="preserve"> accessions are provided in brackets.</w:t>
      </w:r>
    </w:p>
    <w:p w:rsidR="00215538" w:rsidRDefault="00941328" w:rsidP="00941328">
      <w:pPr>
        <w:spacing w:before="0" w:after="200" w:line="276" w:lineRule="auto"/>
        <w:jc w:val="center"/>
      </w:pPr>
      <w:r>
        <w:rPr>
          <w:noProof/>
          <w:lang w:val="en-AU" w:eastAsia="en-AU"/>
        </w:rPr>
        <w:lastRenderedPageBreak/>
        <w:drawing>
          <wp:inline distT="0" distB="0" distL="0" distR="0">
            <wp:extent cx="7080250" cy="531711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01194" cy="5332848"/>
                    </a:xfrm>
                    <a:prstGeom prst="rect">
                      <a:avLst/>
                    </a:prstGeom>
                  </pic:spPr>
                </pic:pic>
              </a:graphicData>
            </a:graphic>
          </wp:inline>
        </w:drawing>
      </w:r>
    </w:p>
    <w:p w:rsidR="00941328" w:rsidRPr="00941328" w:rsidRDefault="00941328" w:rsidP="00941328">
      <w:pPr>
        <w:jc w:val="both"/>
        <w:rPr>
          <w:lang w:val="en-AU"/>
        </w:rPr>
      </w:pPr>
      <w:r w:rsidRPr="00941328">
        <w:rPr>
          <w:b/>
          <w:bCs/>
          <w:lang w:val="en-NZ"/>
        </w:rPr>
        <w:t>Supplemental Figure S</w:t>
      </w:r>
      <w:r w:rsidR="008670E2">
        <w:rPr>
          <w:b/>
          <w:bCs/>
          <w:lang w:val="en-NZ"/>
        </w:rPr>
        <w:t>5</w:t>
      </w:r>
      <w:r w:rsidRPr="00941328">
        <w:rPr>
          <w:b/>
          <w:bCs/>
          <w:lang w:val="en-NZ"/>
        </w:rPr>
        <w:t>:</w:t>
      </w:r>
      <w:r w:rsidRPr="00941328">
        <w:rPr>
          <w:bCs/>
          <w:lang w:val="en-NZ"/>
        </w:rPr>
        <w:t xml:space="preserve"> Maximum likelihood phylogenetic inference of concatenated protein markers present in </w:t>
      </w:r>
      <w:r w:rsidRPr="00941328">
        <w:rPr>
          <w:bCs/>
          <w:i/>
          <w:iCs/>
          <w:lang w:val="en-NZ"/>
        </w:rPr>
        <w:t>Thioreductor</w:t>
      </w:r>
      <w:r w:rsidRPr="00941328">
        <w:rPr>
          <w:bCs/>
          <w:lang w:val="en-NZ"/>
        </w:rPr>
        <w:t xml:space="preserve"> genomes. </w:t>
      </w:r>
      <w:r w:rsidRPr="00941328">
        <w:rPr>
          <w:lang w:val="en-NZ"/>
        </w:rPr>
        <w:t xml:space="preserve">Concatenated alignment of 14 protein markers common to all </w:t>
      </w:r>
      <w:r w:rsidRPr="00941328">
        <w:rPr>
          <w:i/>
          <w:iCs/>
          <w:lang w:val="en-NZ"/>
        </w:rPr>
        <w:t xml:space="preserve">Thioreductor </w:t>
      </w:r>
      <w:r w:rsidRPr="00941328">
        <w:rPr>
          <w:lang w:val="en-NZ"/>
        </w:rPr>
        <w:t>partial genomes. Tree robustness was assessed with 100 bootstrap iterations with junctions denoting &gt;90% support (solid) or &gt;75% (hollow). A numb</w:t>
      </w:r>
      <w:bookmarkStart w:id="0" w:name="_GoBack"/>
      <w:bookmarkEnd w:id="0"/>
      <w:r w:rsidRPr="00941328">
        <w:rPr>
          <w:lang w:val="en-NZ"/>
        </w:rPr>
        <w:t xml:space="preserve">er of </w:t>
      </w:r>
      <w:r w:rsidRPr="00941328">
        <w:rPr>
          <w:i/>
          <w:iCs/>
          <w:lang w:val="en-NZ"/>
        </w:rPr>
        <w:t>Campylobacterales</w:t>
      </w:r>
      <w:r w:rsidRPr="00941328">
        <w:rPr>
          <w:lang w:val="en-NZ"/>
        </w:rPr>
        <w:t xml:space="preserve"> genera are collapsed for clarity.</w:t>
      </w:r>
    </w:p>
    <w:p w:rsidR="00215538" w:rsidRDefault="00215538" w:rsidP="00FF51DC">
      <w:pPr>
        <w:sectPr w:rsidR="00215538" w:rsidSect="005C5DA9">
          <w:type w:val="continuous"/>
          <w:pgSz w:w="15840" w:h="12240" w:orient="landscape"/>
          <w:pgMar w:top="1281" w:right="1140" w:bottom="1179" w:left="1140" w:header="720" w:footer="720" w:gutter="0"/>
          <w:cols w:space="720"/>
          <w:titlePg/>
          <w:docGrid w:linePitch="360"/>
        </w:sectPr>
      </w:pPr>
    </w:p>
    <w:p w:rsidR="0057585B" w:rsidRDefault="0057585B" w:rsidP="0057585B">
      <w:pPr>
        <w:jc w:val="center"/>
      </w:pPr>
      <w:r>
        <w:rPr>
          <w:noProof/>
          <w:lang w:val="en-AU" w:eastAsia="en-AU"/>
        </w:rPr>
        <w:lastRenderedPageBreak/>
        <w:drawing>
          <wp:inline distT="0" distB="0" distL="0" distR="0">
            <wp:extent cx="6724650" cy="475436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5 TCA_fin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30074" cy="4758202"/>
                    </a:xfrm>
                    <a:prstGeom prst="rect">
                      <a:avLst/>
                    </a:prstGeom>
                  </pic:spPr>
                </pic:pic>
              </a:graphicData>
            </a:graphic>
          </wp:inline>
        </w:drawing>
      </w:r>
    </w:p>
    <w:p w:rsidR="0057585B" w:rsidRDefault="0057585B" w:rsidP="00DE47BD">
      <w:pPr>
        <w:jc w:val="both"/>
      </w:pPr>
      <w:r w:rsidRPr="0057585B">
        <w:rPr>
          <w:b/>
        </w:rPr>
        <w:t>Supplemental Figure S</w:t>
      </w:r>
      <w:r w:rsidR="0019214D">
        <w:rPr>
          <w:b/>
        </w:rPr>
        <w:t>6</w:t>
      </w:r>
      <w:r w:rsidRPr="0057585B">
        <w:rPr>
          <w:b/>
        </w:rPr>
        <w:t>:</w:t>
      </w:r>
      <w:r w:rsidRPr="0057585B">
        <w:t xml:space="preserve"> Phylogenetic inference of 2-oxoglutarate oxidoreductase subunits from 128 representative genomes.</w:t>
      </w:r>
      <w:r>
        <w:t xml:space="preserve"> </w:t>
      </w:r>
      <w:r w:rsidRPr="0057585B">
        <w:t>Left: Alpha subunit (</w:t>
      </w:r>
      <w:proofErr w:type="spellStart"/>
      <w:r w:rsidRPr="0057585B">
        <w:t>KorA</w:t>
      </w:r>
      <w:proofErr w:type="spellEnd"/>
      <w:r w:rsidRPr="0057585B">
        <w:t>), consisting of 530 amino acid positions following alignment trimming. Right: Beta subunit (</w:t>
      </w:r>
      <w:proofErr w:type="spellStart"/>
      <w:r w:rsidRPr="0057585B">
        <w:t>KorB</w:t>
      </w:r>
      <w:proofErr w:type="spellEnd"/>
      <w:r w:rsidRPr="0057585B">
        <w:t xml:space="preserve">), consisting of 276 amino acid positions following alignment trimming. Tree robustness was assessed using 100 bootstrap iterations with junctions denoting &gt;90% support (solid) or &gt;70% (hollow). Note that the support of Epsilonbacteraeota in </w:t>
      </w:r>
      <w:proofErr w:type="spellStart"/>
      <w:r w:rsidRPr="0057585B">
        <w:t>KorB</w:t>
      </w:r>
      <w:proofErr w:type="spellEnd"/>
      <w:r w:rsidRPr="0057585B">
        <w:t xml:space="preserve"> is expressed numerically as it does not fit this criteria. Epsilonbacteraeota sequences are marked in red, and putative lateral gene transfers in green.</w:t>
      </w:r>
    </w:p>
    <w:p w:rsidR="004F32B0" w:rsidRDefault="004F32B0" w:rsidP="0057585B">
      <w:pPr>
        <w:sectPr w:rsidR="004F32B0" w:rsidSect="005C5DA9">
          <w:type w:val="continuous"/>
          <w:pgSz w:w="15840" w:h="12240" w:orient="landscape"/>
          <w:pgMar w:top="1281" w:right="1140" w:bottom="1179" w:left="1140" w:header="720" w:footer="720" w:gutter="0"/>
          <w:cols w:space="720"/>
          <w:titlePg/>
          <w:docGrid w:linePitch="360"/>
        </w:sectPr>
      </w:pPr>
    </w:p>
    <w:p w:rsidR="00B67F78" w:rsidRDefault="00B67F78" w:rsidP="004F32B0">
      <w:pPr>
        <w:jc w:val="center"/>
      </w:pPr>
      <w:r>
        <w:rPr>
          <w:noProof/>
          <w:lang w:val="en-AU" w:eastAsia="en-AU"/>
        </w:rPr>
        <w:lastRenderedPageBreak/>
        <w:drawing>
          <wp:inline distT="0" distB="0" distL="0" distR="0">
            <wp:extent cx="4902200" cy="693302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tma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8631" cy="6956262"/>
                    </a:xfrm>
                    <a:prstGeom prst="rect">
                      <a:avLst/>
                    </a:prstGeom>
                  </pic:spPr>
                </pic:pic>
              </a:graphicData>
            </a:graphic>
          </wp:inline>
        </w:drawing>
      </w:r>
    </w:p>
    <w:p w:rsidR="001B49B2" w:rsidRDefault="00B67F78" w:rsidP="00DE47BD">
      <w:pPr>
        <w:jc w:val="both"/>
        <w:sectPr w:rsidR="001B49B2" w:rsidSect="005C5DA9">
          <w:type w:val="continuous"/>
          <w:pgSz w:w="12240" w:h="15840"/>
          <w:pgMar w:top="1140" w:right="1179" w:bottom="1140" w:left="1281" w:header="720" w:footer="720" w:gutter="0"/>
          <w:cols w:space="720"/>
          <w:titlePg/>
          <w:docGrid w:linePitch="360"/>
        </w:sectPr>
      </w:pPr>
      <w:r w:rsidRPr="00B67F78">
        <w:rPr>
          <w:b/>
        </w:rPr>
        <w:t>Supplemental Figure S</w:t>
      </w:r>
      <w:r w:rsidR="0019214D">
        <w:rPr>
          <w:b/>
        </w:rPr>
        <w:t>7</w:t>
      </w:r>
      <w:r w:rsidRPr="00B67F78">
        <w:rPr>
          <w:b/>
        </w:rPr>
        <w:t>:</w:t>
      </w:r>
      <w:r w:rsidRPr="00B67F78">
        <w:t xml:space="preserve"> Phylogenetic inference of methylene-tetrahydrofolate reductase (</w:t>
      </w:r>
      <w:proofErr w:type="spellStart"/>
      <w:r w:rsidRPr="00B67F78">
        <w:t>MetF</w:t>
      </w:r>
      <w:proofErr w:type="spellEnd"/>
      <w:r w:rsidRPr="00B67F78">
        <w:t>) from 125 representative genomes.</w:t>
      </w:r>
      <w:r>
        <w:t xml:space="preserve"> </w:t>
      </w:r>
      <w:r w:rsidRPr="00B67F78">
        <w:t xml:space="preserve">Alignment consisted of 179 amino acid positions following trimming. Tree robustness was assessed using 100 bootstrap iterations with junctions denoting &gt;90% support (solid) or &gt;70% (hollow). Epsilonbacteraeota sequences are marked in red, and putative lateral gene transfers in green. Note that the </w:t>
      </w:r>
      <w:r w:rsidRPr="00B67F78">
        <w:rPr>
          <w:i/>
        </w:rPr>
        <w:t>Campylobacterales</w:t>
      </w:r>
      <w:r w:rsidRPr="00B67F78">
        <w:t xml:space="preserve"> are not monophyletic, and that a lateral transfer of </w:t>
      </w:r>
      <w:proofErr w:type="spellStart"/>
      <w:r w:rsidRPr="00B67F78">
        <w:t>MetF</w:t>
      </w:r>
      <w:proofErr w:type="spellEnd"/>
      <w:r w:rsidRPr="00B67F78">
        <w:t xml:space="preserve"> from host-associated </w:t>
      </w:r>
      <w:proofErr w:type="spellStart"/>
      <w:r w:rsidRPr="00B67F78">
        <w:t>Firmicutes</w:t>
      </w:r>
      <w:proofErr w:type="spellEnd"/>
      <w:r w:rsidRPr="00B67F78">
        <w:t xml:space="preserve"> species is predicted to have caused this result.</w:t>
      </w:r>
    </w:p>
    <w:p w:rsidR="00B67F78" w:rsidRDefault="001B49B2" w:rsidP="007B53EE">
      <w:pPr>
        <w:jc w:val="center"/>
      </w:pPr>
      <w:r>
        <w:rPr>
          <w:noProof/>
          <w:lang w:val="en-AU" w:eastAsia="en-AU"/>
        </w:rPr>
        <w:lastRenderedPageBreak/>
        <w:drawing>
          <wp:inline distT="0" distB="0" distL="0" distR="0">
            <wp:extent cx="7032544" cy="497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7 CitrateLyase_fin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51624" cy="4985539"/>
                    </a:xfrm>
                    <a:prstGeom prst="rect">
                      <a:avLst/>
                    </a:prstGeom>
                  </pic:spPr>
                </pic:pic>
              </a:graphicData>
            </a:graphic>
          </wp:inline>
        </w:drawing>
      </w:r>
    </w:p>
    <w:p w:rsidR="001B49B2" w:rsidRPr="001B49B2" w:rsidRDefault="001B49B2" w:rsidP="00DE47BD">
      <w:pPr>
        <w:jc w:val="both"/>
        <w:rPr>
          <w:lang w:val="en-AU"/>
        </w:rPr>
      </w:pPr>
      <w:r w:rsidRPr="001B49B2">
        <w:rPr>
          <w:b/>
          <w:bCs/>
          <w:lang w:val="en-NZ"/>
        </w:rPr>
        <w:t>Supplemental Figure S</w:t>
      </w:r>
      <w:r w:rsidR="00366AFC">
        <w:rPr>
          <w:b/>
          <w:bCs/>
          <w:lang w:val="en-NZ"/>
        </w:rPr>
        <w:t>8</w:t>
      </w:r>
      <w:r w:rsidRPr="001B49B2">
        <w:rPr>
          <w:b/>
          <w:bCs/>
          <w:lang w:val="en-NZ"/>
        </w:rPr>
        <w:t xml:space="preserve">: </w:t>
      </w:r>
      <w:r w:rsidRPr="001B49B2">
        <w:rPr>
          <w:bCs/>
          <w:lang w:val="en-NZ"/>
        </w:rPr>
        <w:t xml:space="preserve">Phylogenetic inference of ATP citrate </w:t>
      </w:r>
      <w:proofErr w:type="spellStart"/>
      <w:r w:rsidRPr="001B49B2">
        <w:rPr>
          <w:bCs/>
          <w:lang w:val="en-NZ"/>
        </w:rPr>
        <w:t>lyase</w:t>
      </w:r>
      <w:proofErr w:type="spellEnd"/>
      <w:r w:rsidRPr="001B49B2">
        <w:rPr>
          <w:bCs/>
          <w:lang w:val="en-NZ"/>
        </w:rPr>
        <w:t xml:space="preserve"> subunits from 95 representative genomes.</w:t>
      </w:r>
      <w:r w:rsidRPr="001B49B2">
        <w:rPr>
          <w:b/>
          <w:bCs/>
          <w:lang w:val="en-NZ"/>
        </w:rPr>
        <w:t xml:space="preserve"> </w:t>
      </w:r>
      <w:r w:rsidRPr="001B49B2">
        <w:rPr>
          <w:lang w:val="en-NZ"/>
        </w:rPr>
        <w:t>Left: Alpha subunit (</w:t>
      </w:r>
      <w:proofErr w:type="spellStart"/>
      <w:r w:rsidRPr="001B49B2">
        <w:rPr>
          <w:lang w:val="en-NZ"/>
        </w:rPr>
        <w:t>AclA</w:t>
      </w:r>
      <w:proofErr w:type="spellEnd"/>
      <w:r w:rsidRPr="001B49B2">
        <w:rPr>
          <w:lang w:val="en-NZ"/>
        </w:rPr>
        <w:t>), consisting of 271 amino acid positions following alignment trimming. Right: Beta subunit (</w:t>
      </w:r>
      <w:proofErr w:type="spellStart"/>
      <w:r w:rsidRPr="001B49B2">
        <w:rPr>
          <w:lang w:val="en-NZ"/>
        </w:rPr>
        <w:t>AclB</w:t>
      </w:r>
      <w:proofErr w:type="spellEnd"/>
      <w:r w:rsidRPr="001B49B2">
        <w:rPr>
          <w:lang w:val="en-NZ"/>
        </w:rPr>
        <w:t>), consisting of 368 amino acid positions following alignment trimming. Tree robustness was assessed using 100 bootstrap iterations with junctions denoting &gt;90% support (solid) or &gt;70% (hollow). Epsilonbacteraeota sequences are marked in red, and putative lateral gene transfers in green.</w:t>
      </w:r>
    </w:p>
    <w:p w:rsidR="00B67F78" w:rsidRPr="00DE47BD" w:rsidRDefault="00DE47BD" w:rsidP="00DE47BD">
      <w:pPr>
        <w:jc w:val="center"/>
      </w:pPr>
      <w:r>
        <w:rPr>
          <w:noProof/>
          <w:lang w:val="en-AU" w:eastAsia="en-AU"/>
        </w:rPr>
        <w:lastRenderedPageBreak/>
        <w:drawing>
          <wp:inline distT="0" distB="0" distL="0" distR="0">
            <wp:extent cx="7435938" cy="525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tma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58349" cy="5273647"/>
                    </a:xfrm>
                    <a:prstGeom prst="rect">
                      <a:avLst/>
                    </a:prstGeom>
                  </pic:spPr>
                </pic:pic>
              </a:graphicData>
            </a:graphic>
          </wp:inline>
        </w:drawing>
      </w:r>
    </w:p>
    <w:p w:rsidR="00DE47BD" w:rsidRDefault="00DE47BD" w:rsidP="00DE47BD">
      <w:pPr>
        <w:jc w:val="both"/>
        <w:rPr>
          <w:lang w:val="en-NZ"/>
        </w:rPr>
        <w:sectPr w:rsidR="00DE47BD" w:rsidSect="005C5DA9">
          <w:type w:val="continuous"/>
          <w:pgSz w:w="15840" w:h="12240" w:orient="landscape"/>
          <w:pgMar w:top="1281" w:right="1140" w:bottom="1179" w:left="1140" w:header="720" w:footer="720" w:gutter="0"/>
          <w:cols w:space="720"/>
          <w:titlePg/>
          <w:docGrid w:linePitch="360"/>
        </w:sectPr>
      </w:pPr>
      <w:r w:rsidRPr="00DE47BD">
        <w:rPr>
          <w:b/>
          <w:bCs/>
          <w:lang w:val="en-NZ"/>
        </w:rPr>
        <w:t>Supplemental Figure S</w:t>
      </w:r>
      <w:r w:rsidR="00366AFC">
        <w:rPr>
          <w:b/>
          <w:bCs/>
          <w:lang w:val="en-NZ"/>
        </w:rPr>
        <w:t>9</w:t>
      </w:r>
      <w:r w:rsidRPr="00DE47BD">
        <w:rPr>
          <w:b/>
          <w:bCs/>
          <w:lang w:val="en-NZ"/>
        </w:rPr>
        <w:t>:</w:t>
      </w:r>
      <w:r w:rsidRPr="00DE47BD">
        <w:rPr>
          <w:bCs/>
          <w:lang w:val="en-NZ"/>
        </w:rPr>
        <w:t xml:space="preserve"> Phylogenetic inference of reverse-HURM components. </w:t>
      </w:r>
      <w:r w:rsidRPr="00DE47BD">
        <w:rPr>
          <w:lang w:val="en-NZ"/>
        </w:rPr>
        <w:t xml:space="preserve">Left: </w:t>
      </w:r>
      <w:proofErr w:type="spellStart"/>
      <w:r w:rsidRPr="00DE47BD">
        <w:rPr>
          <w:lang w:val="en-NZ"/>
        </w:rPr>
        <w:t>Hydroxyamine</w:t>
      </w:r>
      <w:proofErr w:type="spellEnd"/>
      <w:r w:rsidRPr="00DE47BD">
        <w:rPr>
          <w:lang w:val="en-NZ"/>
        </w:rPr>
        <w:t xml:space="preserve"> </w:t>
      </w:r>
      <w:proofErr w:type="spellStart"/>
      <w:r w:rsidRPr="00DE47BD">
        <w:rPr>
          <w:lang w:val="en-NZ"/>
        </w:rPr>
        <w:t>oxidoredutase</w:t>
      </w:r>
      <w:proofErr w:type="spellEnd"/>
      <w:r w:rsidRPr="00DE47BD">
        <w:rPr>
          <w:lang w:val="en-NZ"/>
        </w:rPr>
        <w:t xml:space="preserve"> (</w:t>
      </w:r>
      <w:proofErr w:type="spellStart"/>
      <w:r w:rsidRPr="00DE47BD">
        <w:rPr>
          <w:lang w:val="en-NZ"/>
        </w:rPr>
        <w:t>HaoA</w:t>
      </w:r>
      <w:proofErr w:type="spellEnd"/>
      <w:r w:rsidRPr="00DE47BD">
        <w:rPr>
          <w:lang w:val="en-NZ"/>
        </w:rPr>
        <w:t>) from 103 representative genomes, consisting of 329 amino acid positions following alignment trimming. Right: Hydroxylamine reductase (</w:t>
      </w:r>
      <w:proofErr w:type="spellStart"/>
      <w:r w:rsidRPr="00DE47BD">
        <w:rPr>
          <w:lang w:val="en-NZ"/>
        </w:rPr>
        <w:t>Har</w:t>
      </w:r>
      <w:proofErr w:type="spellEnd"/>
      <w:r w:rsidRPr="00DE47BD">
        <w:rPr>
          <w:lang w:val="en-NZ"/>
        </w:rPr>
        <w:t xml:space="preserve">), </w:t>
      </w:r>
      <w:r w:rsidRPr="00DE47BD">
        <w:rPr>
          <w:lang w:val="en-NZ"/>
        </w:rPr>
        <w:lastRenderedPageBreak/>
        <w:t>consisting of 425 amino acids following alignment trimming. Tree robustness was assessed using 100 bootstrap iterations with junctions denoting &gt;90% support (solid) or &gt;70% (hollow). Epsilonbacteraeota sequences are marked in red, and putative lateral gene transfers in green.</w:t>
      </w:r>
    </w:p>
    <w:p w:rsidR="00DE47BD" w:rsidRDefault="00DE47BD" w:rsidP="00215538">
      <w:pPr>
        <w:jc w:val="center"/>
        <w:rPr>
          <w:lang w:val="en-NZ"/>
        </w:rPr>
      </w:pPr>
      <w:r>
        <w:rPr>
          <w:noProof/>
          <w:lang w:val="en-AU" w:eastAsia="en-AU"/>
        </w:rPr>
        <w:lastRenderedPageBreak/>
        <w:drawing>
          <wp:inline distT="0" distB="0" distL="0" distR="0">
            <wp:extent cx="5015281" cy="7092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9 NrfA_fin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9008" cy="7112364"/>
                    </a:xfrm>
                    <a:prstGeom prst="rect">
                      <a:avLst/>
                    </a:prstGeom>
                  </pic:spPr>
                </pic:pic>
              </a:graphicData>
            </a:graphic>
          </wp:inline>
        </w:drawing>
      </w:r>
    </w:p>
    <w:p w:rsidR="00DE47BD" w:rsidRPr="00DE47BD" w:rsidRDefault="00DE47BD" w:rsidP="00DE47BD">
      <w:pPr>
        <w:jc w:val="both"/>
        <w:rPr>
          <w:lang w:val="en-AU"/>
        </w:rPr>
      </w:pPr>
      <w:r w:rsidRPr="00DE47BD">
        <w:rPr>
          <w:b/>
          <w:bCs/>
          <w:lang w:val="en-NZ"/>
        </w:rPr>
        <w:t>Supplemental Figure S</w:t>
      </w:r>
      <w:r w:rsidR="00366AFC">
        <w:rPr>
          <w:b/>
          <w:bCs/>
          <w:lang w:val="en-NZ"/>
        </w:rPr>
        <w:t>10</w:t>
      </w:r>
      <w:r w:rsidRPr="00DE47BD">
        <w:rPr>
          <w:b/>
          <w:bCs/>
          <w:lang w:val="en-NZ"/>
        </w:rPr>
        <w:t>:</w:t>
      </w:r>
      <w:r w:rsidRPr="00DE47BD">
        <w:rPr>
          <w:bCs/>
          <w:lang w:val="en-NZ"/>
        </w:rPr>
        <w:t xml:space="preserve"> Phylogenetic inference of </w:t>
      </w:r>
      <w:proofErr w:type="spellStart"/>
      <w:r w:rsidR="004E7487">
        <w:rPr>
          <w:bCs/>
          <w:lang w:val="en-NZ"/>
        </w:rPr>
        <w:t>pentaheme</w:t>
      </w:r>
      <w:proofErr w:type="spellEnd"/>
      <w:r w:rsidR="004E7487">
        <w:rPr>
          <w:bCs/>
          <w:lang w:val="en-NZ"/>
        </w:rPr>
        <w:t xml:space="preserve"> </w:t>
      </w:r>
      <w:r w:rsidRPr="00DE47BD">
        <w:rPr>
          <w:bCs/>
          <w:lang w:val="en-NZ"/>
        </w:rPr>
        <w:t xml:space="preserve">cytochrome </w:t>
      </w:r>
      <w:r w:rsidRPr="004E7487">
        <w:rPr>
          <w:bCs/>
          <w:i/>
          <w:lang w:val="en-NZ"/>
        </w:rPr>
        <w:t>c</w:t>
      </w:r>
      <w:r w:rsidRPr="00DE47BD">
        <w:rPr>
          <w:bCs/>
          <w:lang w:val="en-NZ"/>
        </w:rPr>
        <w:t xml:space="preserve"> nitrite reductase from 127 representative genomes. </w:t>
      </w:r>
      <w:proofErr w:type="spellStart"/>
      <w:r w:rsidRPr="00DE47BD">
        <w:rPr>
          <w:lang w:val="en-NZ"/>
        </w:rPr>
        <w:t>NrfA</w:t>
      </w:r>
      <w:proofErr w:type="spellEnd"/>
      <w:r w:rsidRPr="00DE47BD">
        <w:rPr>
          <w:lang w:val="en-NZ"/>
        </w:rPr>
        <w:t xml:space="preserve"> subunit, consisting of 238 amino acid positions following alignment trimming. Tree robustness was assessed using 100 bootstrap iterations with junctions denoting &gt;90% support (solid) or &gt;70% (hollow). Epsilonbacteraeota sequences are marked in red, and putative lateral gene transfers in green.</w:t>
      </w:r>
    </w:p>
    <w:p w:rsidR="00DE47BD" w:rsidRDefault="004F32B0" w:rsidP="004F32B0">
      <w:pPr>
        <w:jc w:val="center"/>
        <w:rPr>
          <w:lang w:val="en-NZ"/>
        </w:rPr>
      </w:pPr>
      <w:r>
        <w:rPr>
          <w:noProof/>
          <w:lang w:val="en-AU" w:eastAsia="en-AU"/>
        </w:rPr>
        <w:lastRenderedPageBreak/>
        <w:drawing>
          <wp:inline distT="0" distB="0" distL="0" distR="0">
            <wp:extent cx="5172429" cy="7315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10 SQ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78444" cy="7323707"/>
                    </a:xfrm>
                    <a:prstGeom prst="rect">
                      <a:avLst/>
                    </a:prstGeom>
                  </pic:spPr>
                </pic:pic>
              </a:graphicData>
            </a:graphic>
          </wp:inline>
        </w:drawing>
      </w:r>
    </w:p>
    <w:p w:rsidR="004F32B0" w:rsidRPr="004F32B0" w:rsidRDefault="004F32B0" w:rsidP="004F32B0">
      <w:pPr>
        <w:spacing w:before="0" w:after="200" w:line="276" w:lineRule="auto"/>
        <w:jc w:val="both"/>
        <w:rPr>
          <w:lang w:val="en-AU"/>
        </w:rPr>
      </w:pPr>
      <w:r w:rsidRPr="004F32B0">
        <w:rPr>
          <w:b/>
          <w:bCs/>
          <w:lang w:val="en-NZ"/>
        </w:rPr>
        <w:t>Supplemental Figure S1</w:t>
      </w:r>
      <w:r w:rsidR="00A367A1">
        <w:rPr>
          <w:b/>
          <w:bCs/>
          <w:lang w:val="en-NZ"/>
        </w:rPr>
        <w:t>1</w:t>
      </w:r>
      <w:r w:rsidRPr="004F32B0">
        <w:rPr>
          <w:b/>
          <w:bCs/>
          <w:lang w:val="en-NZ"/>
        </w:rPr>
        <w:t>:</w:t>
      </w:r>
      <w:r w:rsidRPr="004F32B0">
        <w:rPr>
          <w:bCs/>
          <w:lang w:val="en-NZ"/>
        </w:rPr>
        <w:t xml:space="preserve"> Phylogenetic inference of </w:t>
      </w:r>
      <w:proofErr w:type="spellStart"/>
      <w:r w:rsidRPr="004F32B0">
        <w:rPr>
          <w:bCs/>
          <w:lang w:val="en-NZ"/>
        </w:rPr>
        <w:t>sulfide</w:t>
      </w:r>
      <w:proofErr w:type="gramStart"/>
      <w:r w:rsidRPr="004F32B0">
        <w:rPr>
          <w:bCs/>
          <w:lang w:val="en-NZ"/>
        </w:rPr>
        <w:t>:quinone</w:t>
      </w:r>
      <w:proofErr w:type="spellEnd"/>
      <w:proofErr w:type="gramEnd"/>
      <w:r w:rsidRPr="004F32B0">
        <w:rPr>
          <w:bCs/>
          <w:lang w:val="en-NZ"/>
        </w:rPr>
        <w:t xml:space="preserve"> oxidoreductase from 135 representative genomes. </w:t>
      </w:r>
      <w:r w:rsidRPr="004F32B0">
        <w:rPr>
          <w:lang w:val="en-NZ"/>
        </w:rPr>
        <w:t>Alignment consisted of 142 amino acid positions following trimming. Tree robustness was assessed using 100 bootstrap iterations with junctions denoting &gt;90% support (solid) or &gt;70% (hollow). Epsilonbacteraeota sequences are marked in red, and putative lateral gene transfers in green.</w:t>
      </w:r>
    </w:p>
    <w:p w:rsidR="00672D0E" w:rsidRDefault="00874D9F" w:rsidP="00874D9F">
      <w:pPr>
        <w:spacing w:before="0" w:after="200" w:line="276" w:lineRule="auto"/>
        <w:jc w:val="center"/>
        <w:rPr>
          <w:lang w:val="en-NZ"/>
        </w:rPr>
      </w:pPr>
      <w:r>
        <w:rPr>
          <w:noProof/>
          <w:lang w:val="en-AU" w:eastAsia="en-AU"/>
        </w:rPr>
        <w:lastRenderedPageBreak/>
        <w:drawing>
          <wp:inline distT="0" distB="0" distL="0" distR="0">
            <wp:extent cx="5087120" cy="7194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11 Ps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2099" cy="7201592"/>
                    </a:xfrm>
                    <a:prstGeom prst="rect">
                      <a:avLst/>
                    </a:prstGeom>
                  </pic:spPr>
                </pic:pic>
              </a:graphicData>
            </a:graphic>
          </wp:inline>
        </w:drawing>
      </w:r>
    </w:p>
    <w:p w:rsidR="00874D9F" w:rsidRPr="00874D9F" w:rsidRDefault="00874D9F" w:rsidP="00874D9F">
      <w:pPr>
        <w:spacing w:before="0" w:after="200" w:line="276" w:lineRule="auto"/>
        <w:jc w:val="both"/>
        <w:rPr>
          <w:lang w:val="en-AU"/>
        </w:rPr>
      </w:pPr>
      <w:r w:rsidRPr="00874D9F">
        <w:rPr>
          <w:b/>
          <w:bCs/>
          <w:lang w:val="en-NZ"/>
        </w:rPr>
        <w:t>Supplemental Figure S1</w:t>
      </w:r>
      <w:r w:rsidR="00A367A1">
        <w:rPr>
          <w:b/>
          <w:bCs/>
          <w:lang w:val="en-NZ"/>
        </w:rPr>
        <w:t>2</w:t>
      </w:r>
      <w:r w:rsidRPr="00874D9F">
        <w:rPr>
          <w:b/>
          <w:bCs/>
          <w:lang w:val="en-NZ"/>
        </w:rPr>
        <w:t>:</w:t>
      </w:r>
      <w:r w:rsidRPr="00874D9F">
        <w:rPr>
          <w:bCs/>
          <w:lang w:val="en-NZ"/>
        </w:rPr>
        <w:t xml:space="preserve"> Phylogenetic inference of polysulfide reductase chain A from 112 representative genomes.</w:t>
      </w:r>
      <w:r>
        <w:rPr>
          <w:bCs/>
          <w:lang w:val="en-NZ"/>
        </w:rPr>
        <w:t xml:space="preserve"> </w:t>
      </w:r>
      <w:r w:rsidRPr="00874D9F">
        <w:rPr>
          <w:lang w:val="en-NZ"/>
        </w:rPr>
        <w:t>Alignment consisted of 441 amino acid positions following trimming. Tree robustness was assessed using 100 bootstrap iterations with junctions denoting &gt;90% support (solid) or &gt;70% (hollow). Epsilonbacteraeota sequences are marked in red, and putative lateral gene transfers in green.</w:t>
      </w:r>
    </w:p>
    <w:p w:rsidR="00047919" w:rsidRDefault="00047919">
      <w:pPr>
        <w:spacing w:before="0" w:after="200" w:line="276" w:lineRule="auto"/>
        <w:rPr>
          <w:lang w:val="en-NZ"/>
        </w:rPr>
        <w:sectPr w:rsidR="00047919" w:rsidSect="005C5DA9">
          <w:type w:val="continuous"/>
          <w:pgSz w:w="12240" w:h="15840"/>
          <w:pgMar w:top="1140" w:right="1179" w:bottom="1140" w:left="1281" w:header="720" w:footer="720" w:gutter="0"/>
          <w:cols w:space="720"/>
          <w:titlePg/>
          <w:docGrid w:linePitch="360"/>
        </w:sectPr>
      </w:pPr>
    </w:p>
    <w:p w:rsidR="00672D0E" w:rsidRDefault="00047919" w:rsidP="00047919">
      <w:pPr>
        <w:spacing w:before="0" w:after="200" w:line="276" w:lineRule="auto"/>
        <w:jc w:val="center"/>
        <w:rPr>
          <w:lang w:val="en-NZ"/>
        </w:rPr>
      </w:pPr>
      <w:r>
        <w:rPr>
          <w:noProof/>
          <w:lang w:val="en-AU" w:eastAsia="en-AU"/>
        </w:rPr>
        <w:lastRenderedPageBreak/>
        <w:drawing>
          <wp:inline distT="0" distB="0" distL="0" distR="0">
            <wp:extent cx="6897101" cy="487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12 So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09597" cy="4885635"/>
                    </a:xfrm>
                    <a:prstGeom prst="rect">
                      <a:avLst/>
                    </a:prstGeom>
                  </pic:spPr>
                </pic:pic>
              </a:graphicData>
            </a:graphic>
          </wp:inline>
        </w:drawing>
      </w:r>
    </w:p>
    <w:p w:rsidR="00047919" w:rsidRPr="00047919" w:rsidRDefault="00047919" w:rsidP="00047919">
      <w:pPr>
        <w:spacing w:before="0" w:after="200" w:line="276" w:lineRule="auto"/>
        <w:rPr>
          <w:lang w:val="en-AU"/>
        </w:rPr>
      </w:pPr>
      <w:r w:rsidRPr="00047919">
        <w:rPr>
          <w:b/>
          <w:bCs/>
          <w:lang w:val="en-NZ"/>
        </w:rPr>
        <w:t>Supplemental Figure S1</w:t>
      </w:r>
      <w:r w:rsidR="00A367A1">
        <w:rPr>
          <w:b/>
          <w:bCs/>
          <w:lang w:val="en-NZ"/>
        </w:rPr>
        <w:t>3</w:t>
      </w:r>
      <w:r w:rsidRPr="00047919">
        <w:rPr>
          <w:b/>
          <w:bCs/>
          <w:lang w:val="en-NZ"/>
        </w:rPr>
        <w:t>:</w:t>
      </w:r>
      <w:r w:rsidRPr="00047919">
        <w:rPr>
          <w:bCs/>
          <w:lang w:val="en-NZ"/>
        </w:rPr>
        <w:t xml:space="preserve"> Phylogenetic inference of </w:t>
      </w:r>
      <w:proofErr w:type="spellStart"/>
      <w:r w:rsidRPr="00047919">
        <w:rPr>
          <w:bCs/>
          <w:lang w:val="en-NZ"/>
        </w:rPr>
        <w:t>Sox</w:t>
      </w:r>
      <w:proofErr w:type="spellEnd"/>
      <w:r w:rsidRPr="00047919">
        <w:rPr>
          <w:bCs/>
          <w:lang w:val="en-NZ"/>
        </w:rPr>
        <w:t xml:space="preserve"> proteins.</w:t>
      </w:r>
      <w:r w:rsidRPr="00047919">
        <w:rPr>
          <w:b/>
          <w:bCs/>
          <w:lang w:val="en-NZ"/>
        </w:rPr>
        <w:t xml:space="preserve"> </w:t>
      </w:r>
      <w:r w:rsidRPr="00047919">
        <w:rPr>
          <w:lang w:val="en-NZ"/>
        </w:rPr>
        <w:t xml:space="preserve">Left: </w:t>
      </w:r>
      <w:proofErr w:type="spellStart"/>
      <w:r w:rsidRPr="00047919">
        <w:rPr>
          <w:lang w:val="en-NZ"/>
        </w:rPr>
        <w:t>SoxA</w:t>
      </w:r>
      <w:proofErr w:type="spellEnd"/>
      <w:r w:rsidRPr="00047919">
        <w:rPr>
          <w:lang w:val="en-NZ"/>
        </w:rPr>
        <w:t xml:space="preserve"> from 90 representative genomes, consisting of 167 amino acid positions following alignment trimming. Middle: </w:t>
      </w:r>
      <w:proofErr w:type="spellStart"/>
      <w:r w:rsidRPr="00047919">
        <w:rPr>
          <w:lang w:val="en-NZ"/>
        </w:rPr>
        <w:t>SoxB</w:t>
      </w:r>
      <w:proofErr w:type="spellEnd"/>
      <w:r w:rsidRPr="00047919">
        <w:rPr>
          <w:lang w:val="en-NZ"/>
        </w:rPr>
        <w:t xml:space="preserve">, consisting of 506 amino acid positions following trimming. Right: 403 amino acid alignment of the </w:t>
      </w:r>
      <w:proofErr w:type="spellStart"/>
      <w:r w:rsidRPr="00047919">
        <w:rPr>
          <w:lang w:val="en-NZ"/>
        </w:rPr>
        <w:t>SoxC</w:t>
      </w:r>
      <w:proofErr w:type="spellEnd"/>
      <w:r w:rsidRPr="00047919">
        <w:rPr>
          <w:lang w:val="en-NZ"/>
        </w:rPr>
        <w:t xml:space="preserve"> protein, from a subset of 63 genomes. Tree robustness was assessed using 100 bootstrap iterations with junctions denoting &gt;90% su</w:t>
      </w:r>
      <w:r>
        <w:rPr>
          <w:lang w:val="en-NZ"/>
        </w:rPr>
        <w:t>pport (solid) or &gt;70% (hollow).</w:t>
      </w:r>
    </w:p>
    <w:p w:rsidR="006D7305" w:rsidRDefault="006D7305" w:rsidP="006D7305">
      <w:pPr>
        <w:spacing w:before="0" w:after="200" w:line="276" w:lineRule="auto"/>
        <w:jc w:val="center"/>
        <w:rPr>
          <w:lang w:val="en-NZ"/>
        </w:rPr>
      </w:pPr>
      <w:r>
        <w:rPr>
          <w:noProof/>
          <w:lang w:val="en-AU" w:eastAsia="en-AU"/>
        </w:rPr>
        <w:lastRenderedPageBreak/>
        <w:drawing>
          <wp:inline distT="0" distB="0" distL="0" distR="0">
            <wp:extent cx="7211423" cy="509905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13 Fl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26516" cy="5109722"/>
                    </a:xfrm>
                    <a:prstGeom prst="rect">
                      <a:avLst/>
                    </a:prstGeom>
                  </pic:spPr>
                </pic:pic>
              </a:graphicData>
            </a:graphic>
          </wp:inline>
        </w:drawing>
      </w:r>
    </w:p>
    <w:p w:rsidR="00DE23E8" w:rsidRPr="001549D3" w:rsidRDefault="006D7305" w:rsidP="006D7305">
      <w:pPr>
        <w:spacing w:before="0" w:after="200" w:line="276" w:lineRule="auto"/>
        <w:jc w:val="both"/>
      </w:pPr>
      <w:r w:rsidRPr="006D7305">
        <w:rPr>
          <w:b/>
          <w:bCs/>
          <w:lang w:val="en-NZ"/>
        </w:rPr>
        <w:t>Supplemental Figure S1</w:t>
      </w:r>
      <w:r w:rsidR="00A367A1">
        <w:rPr>
          <w:b/>
          <w:bCs/>
          <w:lang w:val="en-NZ"/>
        </w:rPr>
        <w:t>4</w:t>
      </w:r>
      <w:r w:rsidRPr="006D7305">
        <w:rPr>
          <w:b/>
          <w:bCs/>
          <w:lang w:val="en-NZ"/>
        </w:rPr>
        <w:t>:</w:t>
      </w:r>
      <w:r w:rsidRPr="006D7305">
        <w:rPr>
          <w:bCs/>
          <w:lang w:val="en-NZ"/>
        </w:rPr>
        <w:t xml:space="preserve"> Phylogenetic inference of flagella structural proteins.</w:t>
      </w:r>
      <w:r>
        <w:rPr>
          <w:bCs/>
          <w:lang w:val="en-NZ"/>
        </w:rPr>
        <w:t xml:space="preserve"> </w:t>
      </w:r>
      <w:r w:rsidRPr="006D7305">
        <w:rPr>
          <w:lang w:val="en-NZ"/>
        </w:rPr>
        <w:t>Left: Flagellar hook protein (</w:t>
      </w:r>
      <w:proofErr w:type="spellStart"/>
      <w:r w:rsidRPr="006D7305">
        <w:rPr>
          <w:lang w:val="en-NZ"/>
        </w:rPr>
        <w:t>FlgE</w:t>
      </w:r>
      <w:proofErr w:type="spellEnd"/>
      <w:r w:rsidRPr="006D7305">
        <w:rPr>
          <w:lang w:val="en-NZ"/>
        </w:rPr>
        <w:t xml:space="preserve">) from 105 representative genomes, consisting of 213 amino acid positions following alignment trimming. Right: </w:t>
      </w:r>
      <w:proofErr w:type="spellStart"/>
      <w:r w:rsidRPr="006D7305">
        <w:rPr>
          <w:lang w:val="en-NZ"/>
        </w:rPr>
        <w:t>Flagellin</w:t>
      </w:r>
      <w:proofErr w:type="spellEnd"/>
      <w:r w:rsidRPr="006D7305">
        <w:rPr>
          <w:lang w:val="en-NZ"/>
        </w:rPr>
        <w:t xml:space="preserve"> protein from 96 genomes and 148 amino acid alignment positions. Tree robustness was assessed using 100 bootstrap iterations with junctions denoting &gt;90% support (solid) or &gt;70% (hollow). Epsilonbacteraeota sequences are marked in red, and putative lateral gene transfers in green.</w:t>
      </w:r>
    </w:p>
    <w:sectPr w:rsidR="00DE23E8" w:rsidRPr="001549D3" w:rsidSect="005C5DA9">
      <w:type w:val="continuous"/>
      <w:pgSz w:w="15840" w:h="12240" w:orient="landscape"/>
      <w:pgMar w:top="1281" w:right="1140" w:bottom="1179" w:left="11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FC4" w:rsidRDefault="00481FC4" w:rsidP="00117666">
      <w:pPr>
        <w:spacing w:after="0"/>
      </w:pPr>
      <w:r>
        <w:separator/>
      </w:r>
    </w:p>
  </w:endnote>
  <w:endnote w:type="continuationSeparator" w:id="0">
    <w:p w:rsidR="00481FC4" w:rsidRDefault="00481FC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color w:val="C00000"/>
        <w:szCs w:val="24"/>
      </w:rPr>
    </w:pPr>
    <w:r>
      <w:rPr>
        <w:noProof/>
        <w:lang w:val="en-AU" w:eastAsia="en-AU"/>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E5130">
                            <w:rPr>
                              <w:noProof/>
                              <w:color w:val="000000" w:themeColor="text1"/>
                              <w:szCs w:val="40"/>
                            </w:rPr>
                            <w:t>16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E5130">
                      <w:rPr>
                        <w:noProof/>
                        <w:color w:val="000000" w:themeColor="text1"/>
                        <w:szCs w:val="40"/>
                      </w:rPr>
                      <w:t>16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b/>
        <w:sz w:val="20"/>
        <w:szCs w:val="24"/>
      </w:rPr>
    </w:pPr>
    <w:r>
      <w:rPr>
        <w:noProof/>
        <w:lang w:val="en-AU" w:eastAsia="en-AU"/>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E5130">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E5130">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FC4" w:rsidRDefault="00481FC4" w:rsidP="00117666">
      <w:pPr>
        <w:spacing w:after="0"/>
      </w:pPr>
      <w:r>
        <w:separator/>
      </w:r>
    </w:p>
  </w:footnote>
  <w:footnote w:type="continuationSeparator" w:id="0">
    <w:p w:rsidR="00481FC4" w:rsidRDefault="00481FC4"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Default="0093429D" w:rsidP="0093429D">
    <w:r w:rsidRPr="005A1D84">
      <w:rPr>
        <w:b/>
        <w:noProof/>
        <w:color w:val="A6A6A6" w:themeColor="background1" w:themeShade="A6"/>
        <w:lang w:val="en-AU" w:eastAsia="en-AU"/>
      </w:rPr>
      <w:drawing>
        <wp:inline distT="0" distB="0" distL="0" distR="0" wp14:anchorId="5B039D35" wp14:editId="34B2ECE5">
          <wp:extent cx="1382534" cy="497091"/>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1DE"/>
    <w:rsid w:val="0001019F"/>
    <w:rsid w:val="0001436A"/>
    <w:rsid w:val="00034304"/>
    <w:rsid w:val="00035434"/>
    <w:rsid w:val="000361A6"/>
    <w:rsid w:val="00047919"/>
    <w:rsid w:val="00052A14"/>
    <w:rsid w:val="000612B6"/>
    <w:rsid w:val="00070304"/>
    <w:rsid w:val="00077D53"/>
    <w:rsid w:val="000D02DD"/>
    <w:rsid w:val="00105FD9"/>
    <w:rsid w:val="00113663"/>
    <w:rsid w:val="00117666"/>
    <w:rsid w:val="001516CB"/>
    <w:rsid w:val="001549D3"/>
    <w:rsid w:val="00160065"/>
    <w:rsid w:val="00177D84"/>
    <w:rsid w:val="0019214D"/>
    <w:rsid w:val="001B49B2"/>
    <w:rsid w:val="00215538"/>
    <w:rsid w:val="00267D18"/>
    <w:rsid w:val="002868E2"/>
    <w:rsid w:val="002869C3"/>
    <w:rsid w:val="002936E4"/>
    <w:rsid w:val="002B4A57"/>
    <w:rsid w:val="002C74CA"/>
    <w:rsid w:val="003544FB"/>
    <w:rsid w:val="00366AFC"/>
    <w:rsid w:val="003D2F2D"/>
    <w:rsid w:val="00401590"/>
    <w:rsid w:val="00447801"/>
    <w:rsid w:val="00452E9C"/>
    <w:rsid w:val="004735C8"/>
    <w:rsid w:val="00481FC4"/>
    <w:rsid w:val="004961FF"/>
    <w:rsid w:val="004E7487"/>
    <w:rsid w:val="004F32B0"/>
    <w:rsid w:val="00517A89"/>
    <w:rsid w:val="005250F2"/>
    <w:rsid w:val="0057585B"/>
    <w:rsid w:val="00593EEA"/>
    <w:rsid w:val="00594761"/>
    <w:rsid w:val="005A5EEE"/>
    <w:rsid w:val="005C4C77"/>
    <w:rsid w:val="005C5DA9"/>
    <w:rsid w:val="005C6731"/>
    <w:rsid w:val="0062508A"/>
    <w:rsid w:val="006375C7"/>
    <w:rsid w:val="00654E8F"/>
    <w:rsid w:val="00660D05"/>
    <w:rsid w:val="00672D0E"/>
    <w:rsid w:val="006820B1"/>
    <w:rsid w:val="006B7D14"/>
    <w:rsid w:val="006D7305"/>
    <w:rsid w:val="00701727"/>
    <w:rsid w:val="0070566C"/>
    <w:rsid w:val="00714C50"/>
    <w:rsid w:val="00725A7D"/>
    <w:rsid w:val="00732B95"/>
    <w:rsid w:val="007501BE"/>
    <w:rsid w:val="007741DE"/>
    <w:rsid w:val="00790BB3"/>
    <w:rsid w:val="007B53EE"/>
    <w:rsid w:val="007C206C"/>
    <w:rsid w:val="00817DD6"/>
    <w:rsid w:val="008670E2"/>
    <w:rsid w:val="00874D9F"/>
    <w:rsid w:val="00885156"/>
    <w:rsid w:val="008A3DF4"/>
    <w:rsid w:val="008C0394"/>
    <w:rsid w:val="009151AA"/>
    <w:rsid w:val="0093429D"/>
    <w:rsid w:val="00941328"/>
    <w:rsid w:val="00943573"/>
    <w:rsid w:val="00970F7D"/>
    <w:rsid w:val="00990642"/>
    <w:rsid w:val="00994A3D"/>
    <w:rsid w:val="009C2B12"/>
    <w:rsid w:val="009C4CD0"/>
    <w:rsid w:val="00A1380F"/>
    <w:rsid w:val="00A174D9"/>
    <w:rsid w:val="00A367A1"/>
    <w:rsid w:val="00A57EAA"/>
    <w:rsid w:val="00A90DEA"/>
    <w:rsid w:val="00AA02F5"/>
    <w:rsid w:val="00AB6715"/>
    <w:rsid w:val="00B1671E"/>
    <w:rsid w:val="00B25EB8"/>
    <w:rsid w:val="00B37F4D"/>
    <w:rsid w:val="00B67F78"/>
    <w:rsid w:val="00BA663F"/>
    <w:rsid w:val="00C12FB5"/>
    <w:rsid w:val="00C52A7B"/>
    <w:rsid w:val="00C56BAF"/>
    <w:rsid w:val="00C60298"/>
    <w:rsid w:val="00C66070"/>
    <w:rsid w:val="00C679AA"/>
    <w:rsid w:val="00C75972"/>
    <w:rsid w:val="00CD066B"/>
    <w:rsid w:val="00CE4FEE"/>
    <w:rsid w:val="00D8210E"/>
    <w:rsid w:val="00DB59C3"/>
    <w:rsid w:val="00DC259A"/>
    <w:rsid w:val="00DE23E8"/>
    <w:rsid w:val="00DE47BD"/>
    <w:rsid w:val="00E52377"/>
    <w:rsid w:val="00E64E17"/>
    <w:rsid w:val="00E866C9"/>
    <w:rsid w:val="00E97D20"/>
    <w:rsid w:val="00EA3D3C"/>
    <w:rsid w:val="00EE5130"/>
    <w:rsid w:val="00F04C8F"/>
    <w:rsid w:val="00F46900"/>
    <w:rsid w:val="00F61D89"/>
    <w:rsid w:val="00FF5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85AE07-8652-431B-924A-37ED8F92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94098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47412136">
      <w:bodyDiv w:val="1"/>
      <w:marLeft w:val="0"/>
      <w:marRight w:val="0"/>
      <w:marTop w:val="0"/>
      <w:marBottom w:val="0"/>
      <w:divBdr>
        <w:top w:val="none" w:sz="0" w:space="0" w:color="auto"/>
        <w:left w:val="none" w:sz="0" w:space="0" w:color="auto"/>
        <w:bottom w:val="none" w:sz="0" w:space="0" w:color="auto"/>
        <w:right w:val="none" w:sz="0" w:space="0" w:color="auto"/>
      </w:divBdr>
    </w:div>
    <w:div w:id="430979770">
      <w:bodyDiv w:val="1"/>
      <w:marLeft w:val="0"/>
      <w:marRight w:val="0"/>
      <w:marTop w:val="0"/>
      <w:marBottom w:val="0"/>
      <w:divBdr>
        <w:top w:val="none" w:sz="0" w:space="0" w:color="auto"/>
        <w:left w:val="none" w:sz="0" w:space="0" w:color="auto"/>
        <w:bottom w:val="none" w:sz="0" w:space="0" w:color="auto"/>
        <w:right w:val="none" w:sz="0" w:space="0" w:color="auto"/>
      </w:divBdr>
    </w:div>
    <w:div w:id="458766175">
      <w:bodyDiv w:val="1"/>
      <w:marLeft w:val="0"/>
      <w:marRight w:val="0"/>
      <w:marTop w:val="0"/>
      <w:marBottom w:val="0"/>
      <w:divBdr>
        <w:top w:val="none" w:sz="0" w:space="0" w:color="auto"/>
        <w:left w:val="none" w:sz="0" w:space="0" w:color="auto"/>
        <w:bottom w:val="none" w:sz="0" w:space="0" w:color="auto"/>
        <w:right w:val="none" w:sz="0" w:space="0" w:color="auto"/>
      </w:divBdr>
    </w:div>
    <w:div w:id="635793491">
      <w:bodyDiv w:val="1"/>
      <w:marLeft w:val="0"/>
      <w:marRight w:val="0"/>
      <w:marTop w:val="0"/>
      <w:marBottom w:val="0"/>
      <w:divBdr>
        <w:top w:val="none" w:sz="0" w:space="0" w:color="auto"/>
        <w:left w:val="none" w:sz="0" w:space="0" w:color="auto"/>
        <w:bottom w:val="none" w:sz="0" w:space="0" w:color="auto"/>
        <w:right w:val="none" w:sz="0" w:space="0" w:color="auto"/>
      </w:divBdr>
    </w:div>
    <w:div w:id="853955945">
      <w:bodyDiv w:val="1"/>
      <w:marLeft w:val="0"/>
      <w:marRight w:val="0"/>
      <w:marTop w:val="0"/>
      <w:marBottom w:val="0"/>
      <w:divBdr>
        <w:top w:val="none" w:sz="0" w:space="0" w:color="auto"/>
        <w:left w:val="none" w:sz="0" w:space="0" w:color="auto"/>
        <w:bottom w:val="none" w:sz="0" w:space="0" w:color="auto"/>
        <w:right w:val="none" w:sz="0" w:space="0" w:color="auto"/>
      </w:divBdr>
    </w:div>
    <w:div w:id="1045108368">
      <w:bodyDiv w:val="1"/>
      <w:marLeft w:val="0"/>
      <w:marRight w:val="0"/>
      <w:marTop w:val="0"/>
      <w:marBottom w:val="0"/>
      <w:divBdr>
        <w:top w:val="none" w:sz="0" w:space="0" w:color="auto"/>
        <w:left w:val="none" w:sz="0" w:space="0" w:color="auto"/>
        <w:bottom w:val="none" w:sz="0" w:space="0" w:color="auto"/>
        <w:right w:val="none" w:sz="0" w:space="0" w:color="auto"/>
      </w:divBdr>
    </w:div>
    <w:div w:id="135137753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85993006">
      <w:bodyDiv w:val="1"/>
      <w:marLeft w:val="0"/>
      <w:marRight w:val="0"/>
      <w:marTop w:val="0"/>
      <w:marBottom w:val="0"/>
      <w:divBdr>
        <w:top w:val="none" w:sz="0" w:space="0" w:color="auto"/>
        <w:left w:val="none" w:sz="0" w:space="0" w:color="auto"/>
        <w:bottom w:val="none" w:sz="0" w:space="0" w:color="auto"/>
        <w:right w:val="none" w:sz="0" w:space="0" w:color="auto"/>
      </w:divBdr>
    </w:div>
    <w:div w:id="1800537877">
      <w:bodyDiv w:val="1"/>
      <w:marLeft w:val="0"/>
      <w:marRight w:val="0"/>
      <w:marTop w:val="0"/>
      <w:marBottom w:val="0"/>
      <w:divBdr>
        <w:top w:val="none" w:sz="0" w:space="0" w:color="auto"/>
        <w:left w:val="none" w:sz="0" w:space="0" w:color="auto"/>
        <w:bottom w:val="none" w:sz="0" w:space="0" w:color="auto"/>
        <w:right w:val="none" w:sz="0" w:space="0" w:color="auto"/>
      </w:divBdr>
    </w:div>
    <w:div w:id="204390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 Id="rId30"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qdwait1\Documents\Epsilonbacteraeota\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0B13230449AB9F4D939052C2B6B1A02C" ma:contentTypeVersion="7" ma:contentTypeDescription="Create a new document." ma:contentTypeScope="" ma:versionID="6fb8834e6477c4f140b2a39b9783ad70">
  <xsd:schema xmlns:xsd="http://www.w3.org/2001/XMLSchema" xmlns:p="http://schemas.microsoft.com/office/2006/metadata/properties" xmlns:ns2="eb8d381a-5bec-4d6a-9ea5-e830052c9177" targetNamespace="http://schemas.microsoft.com/office/2006/metadata/properties" ma:root="true" ma:fieldsID="f3357372d510f64ee9ce9caae38a91e0" ns2:_="">
    <xsd:import namespace="eb8d381a-5bec-4d6a-9ea5-e830052c9177"/>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eb8d381a-5bec-4d6a-9ea5-e830052c9177"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hecked_x0020_Out_x0020_To xmlns="eb8d381a-5bec-4d6a-9ea5-e830052c9177">
      <UserInfo>
        <DisplayName/>
        <AccountId xsi:nil="true"/>
        <AccountType/>
      </UserInfo>
    </Checked_x0020_Out_x0020_To>
    <StageName xmlns="eb8d381a-5bec-4d6a-9ea5-e830052c9177" xsi:nil="true"/>
    <FileFormat xmlns="eb8d381a-5bec-4d6a-9ea5-e830052c9177">DOCX</FileFormat>
    <DocumentId xmlns="eb8d381a-5bec-4d6a-9ea5-e830052c9177">Data Sheet 1.DOCX</DocumentId>
    <IsDeleted xmlns="eb8d381a-5bec-4d6a-9ea5-e830052c9177">false</IsDeleted>
    <DocumentType xmlns="eb8d381a-5bec-4d6a-9ea5-e830052c9177">Data Sheet</DocumentType>
    <TitleName xmlns="eb8d381a-5bec-4d6a-9ea5-e830052c9177">Data Sheet 1.DOCX</TitleName>
  </documentManagement>
</p:properties>
</file>

<file path=customXml/itemProps1.xml><?xml version="1.0" encoding="utf-8"?>
<ds:datastoreItem xmlns:ds="http://schemas.openxmlformats.org/officeDocument/2006/customXml" ds:itemID="{634D5E83-DB9B-4F80-B673-B58F6426CA6F}"/>
</file>

<file path=customXml/itemProps2.xml><?xml version="1.0" encoding="utf-8"?>
<ds:datastoreItem xmlns:ds="http://schemas.openxmlformats.org/officeDocument/2006/customXml" ds:itemID="{D9C7FDAA-6010-482C-A622-0E0A35870C48}"/>
</file>

<file path=customXml/itemProps3.xml><?xml version="1.0" encoding="utf-8"?>
<ds:datastoreItem xmlns:ds="http://schemas.openxmlformats.org/officeDocument/2006/customXml" ds:itemID="{1F28206F-F4DD-4F8C-BB70-A0CB39488801}"/>
</file>

<file path=customXml/itemProps4.xml><?xml version="1.0" encoding="utf-8"?>
<ds:datastoreItem xmlns:ds="http://schemas.openxmlformats.org/officeDocument/2006/customXml" ds:itemID="{DBFAF398-FA66-4689-AFF4-70F5ECC450FA}"/>
</file>

<file path=docProps/app.xml><?xml version="1.0" encoding="utf-8"?>
<Properties xmlns="http://schemas.openxmlformats.org/officeDocument/2006/extended-properties" xmlns:vt="http://schemas.openxmlformats.org/officeDocument/2006/docPropsVTypes">
  <Template>Supplementary_Material.dotx</Template>
  <TotalTime>113</TotalTime>
  <Pages>16</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Waite</dc:creator>
  <cp:lastModifiedBy>David Waite</cp:lastModifiedBy>
  <cp:revision>36</cp:revision>
  <cp:lastPrinted>2013-10-03T12:51:00Z</cp:lastPrinted>
  <dcterms:created xsi:type="dcterms:W3CDTF">2017-03-01T03:16:00Z</dcterms:created>
  <dcterms:modified xsi:type="dcterms:W3CDTF">2017-04-03T00:13:00Z</dcterms:modified>
</cp:coreProperties>
</file>